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A1" w:rsidRPr="003D68FC" w:rsidRDefault="00C77EE0" w:rsidP="00C77EE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EP15-5 </w:t>
      </w:r>
      <w:r w:rsidR="00E641DE" w:rsidRPr="003D68FC">
        <w:rPr>
          <w:rFonts w:cs="Arial"/>
          <w:b/>
          <w:szCs w:val="24"/>
        </w:rPr>
        <w:t>CARDIOVASCULAR REHABILITATION</w:t>
      </w:r>
      <w:r w:rsidR="003D68FC" w:rsidRPr="003D68FC">
        <w:rPr>
          <w:rFonts w:cs="Arial"/>
          <w:b/>
          <w:szCs w:val="24"/>
        </w:rPr>
        <w:t xml:space="preserve">: </w:t>
      </w:r>
      <w:r w:rsidR="004B26A1" w:rsidRPr="003D68FC">
        <w:rPr>
          <w:rFonts w:cs="Arial"/>
          <w:b/>
          <w:szCs w:val="24"/>
        </w:rPr>
        <w:t xml:space="preserve">PROCESS IMPROVEMENT </w:t>
      </w:r>
    </w:p>
    <w:p w:rsidR="00D77F6B" w:rsidRDefault="00D77F6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Implemented: September 12, 2012 </w:t>
      </w:r>
    </w:p>
    <w:p w:rsidR="000D7432" w:rsidRPr="003D68FC" w:rsidRDefault="00D77F6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Update: </w:t>
      </w:r>
      <w:r w:rsidR="00A61002" w:rsidRPr="003D68FC">
        <w:rPr>
          <w:rFonts w:cs="Arial"/>
          <w:b/>
          <w:szCs w:val="24"/>
        </w:rPr>
        <w:fldChar w:fldCharType="begin"/>
      </w:r>
      <w:r w:rsidR="000D7432" w:rsidRPr="003D68FC">
        <w:rPr>
          <w:rFonts w:cs="Arial"/>
          <w:b/>
          <w:szCs w:val="24"/>
        </w:rPr>
        <w:instrText xml:space="preserve"> DATE \@ "MMMM d, yyyy" </w:instrText>
      </w:r>
      <w:r w:rsidR="00A61002" w:rsidRPr="003D68FC">
        <w:rPr>
          <w:rFonts w:cs="Arial"/>
          <w:b/>
          <w:szCs w:val="24"/>
        </w:rPr>
        <w:fldChar w:fldCharType="separate"/>
      </w:r>
      <w:r w:rsidR="00C77EE0">
        <w:rPr>
          <w:rFonts w:cs="Arial"/>
          <w:b/>
          <w:noProof/>
          <w:szCs w:val="24"/>
        </w:rPr>
        <w:t>February 21, 2013</w:t>
      </w:r>
      <w:r w:rsidR="00A61002" w:rsidRPr="003D68FC">
        <w:rPr>
          <w:rFonts w:cs="Arial"/>
          <w:b/>
          <w:szCs w:val="24"/>
        </w:rPr>
        <w:fldChar w:fldCharType="end"/>
      </w:r>
    </w:p>
    <w:tbl>
      <w:tblPr>
        <w:tblW w:w="9578" w:type="dxa"/>
        <w:tblLayout w:type="fixed"/>
        <w:tblLook w:val="0000"/>
      </w:tblPr>
      <w:tblGrid>
        <w:gridCol w:w="918"/>
        <w:gridCol w:w="8660"/>
      </w:tblGrid>
      <w:tr w:rsidR="004B26A1" w:rsidRPr="003D68FC" w:rsidTr="00D77F6B">
        <w:tc>
          <w:tcPr>
            <w:tcW w:w="91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  <w:r w:rsidRPr="003D68FC">
              <w:rPr>
                <w:rFonts w:cs="Arial"/>
                <w:b/>
                <w:szCs w:val="24"/>
              </w:rPr>
              <w:t>F</w:t>
            </w: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A1" w:rsidRPr="003D68FC" w:rsidRDefault="004B26A1">
            <w:pPr>
              <w:rPr>
                <w:rFonts w:cs="Arial"/>
                <w:smallCaps/>
                <w:szCs w:val="24"/>
              </w:rPr>
            </w:pPr>
            <w:r w:rsidRPr="003D68FC">
              <w:rPr>
                <w:rFonts w:cs="Arial"/>
                <w:smallCaps/>
                <w:szCs w:val="24"/>
              </w:rPr>
              <w:t>Find A Process To Improve</w:t>
            </w:r>
          </w:p>
        </w:tc>
      </w:tr>
      <w:tr w:rsidR="004B26A1" w:rsidRPr="003D68FC" w:rsidTr="00D77F6B">
        <w:tc>
          <w:tcPr>
            <w:tcW w:w="91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16A25" w:rsidRPr="003D68FC" w:rsidRDefault="008E6B91" w:rsidP="008E6B91">
            <w:pPr>
              <w:pStyle w:val="Heading1"/>
              <w:rPr>
                <w:rFonts w:cs="Arial"/>
                <w:smallCaps w:val="0"/>
                <w:sz w:val="24"/>
                <w:szCs w:val="24"/>
              </w:rPr>
            </w:pPr>
            <w:r w:rsidRPr="003D68FC">
              <w:rPr>
                <w:rFonts w:cs="Arial"/>
                <w:smallCaps w:val="0"/>
                <w:sz w:val="24"/>
                <w:szCs w:val="24"/>
              </w:rPr>
              <w:t xml:space="preserve">Our outpatient Cardiac Rehabilitation Program </w:t>
            </w:r>
            <w:r w:rsidR="00BC7F5D" w:rsidRPr="003D68FC">
              <w:rPr>
                <w:rFonts w:cs="Arial"/>
                <w:smallCaps w:val="0"/>
                <w:sz w:val="24"/>
                <w:szCs w:val="24"/>
              </w:rPr>
              <w:t xml:space="preserve">is designed to provide cardiac risk factor modification, exercise, education, and counseling for patients with cardiovascular disease. </w:t>
            </w:r>
            <w:r w:rsidR="00D16A25" w:rsidRPr="003D68FC">
              <w:rPr>
                <w:rFonts w:cs="Arial"/>
                <w:smallCaps w:val="0"/>
                <w:sz w:val="24"/>
                <w:szCs w:val="24"/>
              </w:rPr>
              <w:t>Intended outcomes of the program include risk reduction of future mortality and additional cardiac events and improvement of patient’s ability to manage all aspects of the disease process.</w:t>
            </w:r>
            <w:r w:rsidR="00F00902" w:rsidRPr="003D68FC">
              <w:rPr>
                <w:rFonts w:cs="Arial"/>
                <w:smallCaps w:val="0"/>
                <w:sz w:val="24"/>
                <w:szCs w:val="24"/>
              </w:rPr>
              <w:t xml:space="preserve"> </w:t>
            </w:r>
            <w:r w:rsidR="00163E1B" w:rsidRPr="003D68FC">
              <w:rPr>
                <w:rFonts w:cs="Arial"/>
                <w:smallCaps w:val="0"/>
                <w:sz w:val="24"/>
                <w:szCs w:val="24"/>
              </w:rPr>
              <w:t xml:space="preserve">One of the identified negative complications of acute coronary incidents and their treatment is increased depression. Often depression goes unidentified and untreated in this population, leading to </w:t>
            </w:r>
            <w:r w:rsidR="00431028" w:rsidRPr="003D68FC">
              <w:rPr>
                <w:rFonts w:cs="Arial"/>
                <w:smallCaps w:val="0"/>
                <w:sz w:val="24"/>
                <w:szCs w:val="24"/>
              </w:rPr>
              <w:t xml:space="preserve">poorer outcomes evidenced by </w:t>
            </w:r>
            <w:r w:rsidR="00163E1B" w:rsidRPr="003D68FC">
              <w:rPr>
                <w:rFonts w:cs="Arial"/>
                <w:smallCaps w:val="0"/>
                <w:sz w:val="24"/>
                <w:szCs w:val="24"/>
              </w:rPr>
              <w:t>lower quality of life, extended recovery, and higher complication rates.</w:t>
            </w:r>
          </w:p>
          <w:p w:rsidR="008E6B91" w:rsidRPr="003D68FC" w:rsidRDefault="006373B6" w:rsidP="003D68FC">
            <w:pPr>
              <w:rPr>
                <w:rFonts w:cs="Arial"/>
                <w:szCs w:val="24"/>
              </w:rPr>
            </w:pPr>
            <w:r w:rsidRPr="003D68FC">
              <w:rPr>
                <w:rFonts w:cs="Arial"/>
                <w:szCs w:val="24"/>
              </w:rPr>
              <w:t>Prior to this study, no formal process to identify clinically depressed patients was in place. The Program Medical Director identified a need to have a standardized identification process in place based on staff and physician request and patient need.</w:t>
            </w:r>
          </w:p>
        </w:tc>
      </w:tr>
      <w:tr w:rsidR="004B26A1" w:rsidRPr="003D68FC" w:rsidTr="00D77F6B">
        <w:tc>
          <w:tcPr>
            <w:tcW w:w="91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  <w:r w:rsidRPr="003D68FC">
              <w:rPr>
                <w:rFonts w:cs="Arial"/>
                <w:b/>
                <w:szCs w:val="24"/>
              </w:rPr>
              <w:t>O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26A1" w:rsidRPr="003D68FC" w:rsidRDefault="004B26A1">
            <w:pPr>
              <w:rPr>
                <w:rFonts w:cs="Arial"/>
                <w:smallCaps/>
                <w:szCs w:val="24"/>
              </w:rPr>
            </w:pPr>
            <w:r w:rsidRPr="003D68FC">
              <w:rPr>
                <w:rFonts w:cs="Arial"/>
                <w:smallCaps/>
                <w:szCs w:val="24"/>
              </w:rPr>
              <w:t>Organize A Team</w:t>
            </w:r>
          </w:p>
        </w:tc>
      </w:tr>
      <w:tr w:rsidR="004B26A1" w:rsidRPr="003D68FC" w:rsidTr="00D77F6B">
        <w:tc>
          <w:tcPr>
            <w:tcW w:w="918" w:type="dxa"/>
            <w:tcBorders>
              <w:top w:val="double" w:sz="12" w:space="0" w:color="auto"/>
              <w:left w:val="single" w:sz="6" w:space="0" w:color="auto"/>
              <w:bottom w:val="nil"/>
              <w:right w:val="nil"/>
            </w:tcBorders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B26A1" w:rsidRPr="003D68FC" w:rsidRDefault="00B2532C" w:rsidP="003D68FC">
            <w:pPr>
              <w:rPr>
                <w:rFonts w:cs="Arial"/>
                <w:smallCaps/>
                <w:color w:val="0070C0"/>
                <w:szCs w:val="24"/>
              </w:rPr>
            </w:pPr>
            <w:r w:rsidRPr="003D68FC">
              <w:rPr>
                <w:rFonts w:cs="Arial"/>
                <w:szCs w:val="24"/>
              </w:rPr>
              <w:t>The team consisted of the Cardiac Rehabilitation</w:t>
            </w:r>
            <w:r w:rsidR="00163E1B" w:rsidRPr="003D68FC">
              <w:rPr>
                <w:rFonts w:cs="Arial"/>
                <w:szCs w:val="24"/>
              </w:rPr>
              <w:t xml:space="preserve"> Medical Director, </w:t>
            </w:r>
            <w:r w:rsidR="006373B6" w:rsidRPr="003D68FC">
              <w:rPr>
                <w:rFonts w:cs="Arial"/>
                <w:szCs w:val="24"/>
              </w:rPr>
              <w:t>RNs and other staff members including exercise physiologist, CNAs, dieticians, psychologist, and interns.</w:t>
            </w:r>
          </w:p>
        </w:tc>
      </w:tr>
      <w:tr w:rsidR="004B26A1" w:rsidRPr="003D68FC" w:rsidTr="00D77F6B">
        <w:tc>
          <w:tcPr>
            <w:tcW w:w="918" w:type="dxa"/>
            <w:tcBorders>
              <w:top w:val="doub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  <w:r w:rsidRPr="003D68FC">
              <w:rPr>
                <w:rFonts w:cs="Arial"/>
                <w:b/>
                <w:szCs w:val="24"/>
              </w:rPr>
              <w:t>C</w:t>
            </w:r>
          </w:p>
        </w:tc>
        <w:tc>
          <w:tcPr>
            <w:tcW w:w="8660" w:type="dxa"/>
            <w:tcBorders>
              <w:top w:val="double" w:sz="6" w:space="0" w:color="auto"/>
              <w:left w:val="nil"/>
              <w:bottom w:val="nil"/>
              <w:right w:val="single" w:sz="12" w:space="0" w:color="auto"/>
            </w:tcBorders>
          </w:tcPr>
          <w:p w:rsidR="004B26A1" w:rsidRPr="003D68FC" w:rsidRDefault="004B26A1">
            <w:pPr>
              <w:rPr>
                <w:rFonts w:cs="Arial"/>
                <w:smallCaps/>
                <w:szCs w:val="24"/>
              </w:rPr>
            </w:pPr>
            <w:r w:rsidRPr="003D68FC">
              <w:rPr>
                <w:rFonts w:cs="Arial"/>
                <w:smallCaps/>
                <w:szCs w:val="24"/>
              </w:rPr>
              <w:t>Clarify Knowledge of the Current Process</w:t>
            </w:r>
          </w:p>
        </w:tc>
      </w:tr>
      <w:tr w:rsidR="004B26A1" w:rsidRPr="003D68FC" w:rsidTr="00D77F6B">
        <w:tc>
          <w:tcPr>
            <w:tcW w:w="9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6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76691" w:rsidRPr="003D68FC" w:rsidRDefault="00163E1B" w:rsidP="00C929B0">
            <w:pPr>
              <w:rPr>
                <w:rFonts w:cs="Arial"/>
                <w:smallCaps/>
                <w:szCs w:val="24"/>
              </w:rPr>
            </w:pPr>
            <w:r w:rsidRPr="003D68FC">
              <w:rPr>
                <w:rFonts w:cs="Arial"/>
                <w:szCs w:val="24"/>
              </w:rPr>
              <w:t>At baseline</w:t>
            </w:r>
            <w:r w:rsidR="003F2760" w:rsidRPr="003D68FC">
              <w:rPr>
                <w:rFonts w:cs="Arial"/>
                <w:szCs w:val="24"/>
              </w:rPr>
              <w:t xml:space="preserve"> (program entry</w:t>
            </w:r>
            <w:r w:rsidR="00C929B0" w:rsidRPr="003D68FC">
              <w:rPr>
                <w:rFonts w:cs="Arial"/>
                <w:szCs w:val="24"/>
              </w:rPr>
              <w:t xml:space="preserve"> to </w:t>
            </w:r>
            <w:r w:rsidR="003F2760" w:rsidRPr="003D68FC">
              <w:rPr>
                <w:rFonts w:cs="Arial"/>
                <w:szCs w:val="24"/>
              </w:rPr>
              <w:t>CRII) patients are given the Dartmouth Questionnaire which is designed to measure</w:t>
            </w:r>
            <w:r w:rsidR="006373B6" w:rsidRPr="003D68FC">
              <w:rPr>
                <w:rFonts w:cs="Arial"/>
                <w:szCs w:val="24"/>
              </w:rPr>
              <w:t xml:space="preserve"> </w:t>
            </w:r>
            <w:r w:rsidR="003F2760" w:rsidRPr="003D68FC">
              <w:rPr>
                <w:rFonts w:cs="Arial"/>
                <w:szCs w:val="24"/>
              </w:rPr>
              <w:t xml:space="preserve">Quality of Life (QOL). This questionnaire measures several psycho/social domains and is not designed to be a clinical questionnaire to measure depression. Responses from the Dartmouth were analyzed individually and as aggregated data. No </w:t>
            </w:r>
            <w:r w:rsidRPr="003D68FC">
              <w:rPr>
                <w:rFonts w:cs="Arial"/>
                <w:szCs w:val="24"/>
              </w:rPr>
              <w:t xml:space="preserve">systematized </w:t>
            </w:r>
            <w:r w:rsidR="003F2760" w:rsidRPr="003D68FC">
              <w:rPr>
                <w:rFonts w:cs="Arial"/>
                <w:szCs w:val="24"/>
              </w:rPr>
              <w:t>intervention was in place to provide services/care for patients with increased QOL scores</w:t>
            </w:r>
            <w:r w:rsidR="00C929B0" w:rsidRPr="003D68FC">
              <w:rPr>
                <w:rFonts w:cs="Arial"/>
                <w:szCs w:val="24"/>
              </w:rPr>
              <w:t>.</w:t>
            </w:r>
            <w:r w:rsidR="003F2760" w:rsidRPr="003D68FC">
              <w:rPr>
                <w:rFonts w:cs="Arial"/>
                <w:szCs w:val="24"/>
              </w:rPr>
              <w:t xml:space="preserve"> </w:t>
            </w:r>
          </w:p>
        </w:tc>
      </w:tr>
      <w:tr w:rsidR="004B26A1" w:rsidRPr="003D68FC" w:rsidTr="00D77F6B">
        <w:tc>
          <w:tcPr>
            <w:tcW w:w="918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5" w:color="auto" w:fill="auto"/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  <w:r w:rsidRPr="003D68FC">
              <w:rPr>
                <w:rFonts w:cs="Arial"/>
                <w:b/>
                <w:szCs w:val="24"/>
              </w:rPr>
              <w:t>U</w:t>
            </w:r>
          </w:p>
        </w:tc>
        <w:tc>
          <w:tcPr>
            <w:tcW w:w="866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</w:tcPr>
          <w:p w:rsidR="004B26A1" w:rsidRPr="003D68FC" w:rsidRDefault="004B26A1">
            <w:pPr>
              <w:rPr>
                <w:rFonts w:cs="Arial"/>
                <w:smallCaps/>
                <w:szCs w:val="24"/>
              </w:rPr>
            </w:pPr>
            <w:r w:rsidRPr="003D68FC">
              <w:rPr>
                <w:rFonts w:cs="Arial"/>
                <w:smallCaps/>
                <w:szCs w:val="24"/>
              </w:rPr>
              <w:t>Understand Variation</w:t>
            </w:r>
          </w:p>
        </w:tc>
      </w:tr>
      <w:tr w:rsidR="004B26A1" w:rsidRPr="003D68FC" w:rsidTr="00D77F6B">
        <w:tc>
          <w:tcPr>
            <w:tcW w:w="918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A508BC" w:rsidRPr="003D68FC" w:rsidRDefault="00DA7C2D" w:rsidP="00C929B0">
            <w:pPr>
              <w:rPr>
                <w:rFonts w:cs="Arial"/>
                <w:smallCaps/>
                <w:szCs w:val="24"/>
              </w:rPr>
            </w:pPr>
            <w:r w:rsidRPr="003D68FC">
              <w:rPr>
                <w:rFonts w:cs="Arial"/>
                <w:szCs w:val="24"/>
              </w:rPr>
              <w:t>No process was in place to track the effect on depression levels of patients as they participated in the program.</w:t>
            </w:r>
            <w:r w:rsidR="00C929B0" w:rsidRPr="003D68FC">
              <w:rPr>
                <w:rFonts w:cs="Arial"/>
                <w:szCs w:val="24"/>
              </w:rPr>
              <w:t xml:space="preserve"> Individual nurses and exercise physiologist intervened according to their discipline training and after consulting with other team members. </w:t>
            </w:r>
          </w:p>
        </w:tc>
      </w:tr>
      <w:tr w:rsidR="004B26A1" w:rsidRPr="003D68FC" w:rsidTr="00D77F6B">
        <w:tc>
          <w:tcPr>
            <w:tcW w:w="91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  <w:r w:rsidRPr="003D68FC">
              <w:rPr>
                <w:rFonts w:cs="Arial"/>
                <w:b/>
                <w:szCs w:val="24"/>
              </w:rPr>
              <w:t>S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26A1" w:rsidRPr="003D68FC" w:rsidRDefault="004B26A1">
            <w:pPr>
              <w:rPr>
                <w:rFonts w:cs="Arial"/>
                <w:smallCaps/>
                <w:szCs w:val="24"/>
              </w:rPr>
            </w:pPr>
            <w:r w:rsidRPr="003D68FC">
              <w:rPr>
                <w:rFonts w:cs="Arial"/>
                <w:smallCaps/>
                <w:szCs w:val="24"/>
              </w:rPr>
              <w:t>Select An Improvement Strategy</w:t>
            </w:r>
          </w:p>
        </w:tc>
      </w:tr>
      <w:tr w:rsidR="004B26A1" w:rsidRPr="003D68FC" w:rsidTr="00D77F6B">
        <w:tc>
          <w:tcPr>
            <w:tcW w:w="918" w:type="dxa"/>
            <w:tcBorders>
              <w:top w:val="double" w:sz="12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DA7C2D" w:rsidRPr="003D68FC" w:rsidRDefault="001B4F02" w:rsidP="003D68FC">
            <w:pPr>
              <w:rPr>
                <w:rFonts w:cs="Arial"/>
                <w:szCs w:val="24"/>
              </w:rPr>
            </w:pPr>
            <w:r w:rsidRPr="003D68FC">
              <w:rPr>
                <w:rFonts w:cs="Arial"/>
                <w:szCs w:val="24"/>
              </w:rPr>
              <w:t xml:space="preserve">All patients entering the program will be screened for clinical depression and referrals as appropriate will be </w:t>
            </w:r>
            <w:r w:rsidR="001864A3" w:rsidRPr="003D68FC">
              <w:rPr>
                <w:rFonts w:cs="Arial"/>
                <w:szCs w:val="24"/>
              </w:rPr>
              <w:t>made. This</w:t>
            </w:r>
            <w:r w:rsidRPr="003D68FC">
              <w:rPr>
                <w:rFonts w:cs="Arial"/>
                <w:szCs w:val="24"/>
              </w:rPr>
              <w:t xml:space="preserve"> adjunct treatment, along with program participation, is hypothesized to produce significant changes in the depression scores of patients identified as being depressed.</w:t>
            </w:r>
          </w:p>
        </w:tc>
      </w:tr>
      <w:tr w:rsidR="004B26A1" w:rsidRPr="003D68FC" w:rsidTr="00D77F6B">
        <w:tc>
          <w:tcPr>
            <w:tcW w:w="918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  <w:r w:rsidRPr="003D68FC">
              <w:rPr>
                <w:rFonts w:cs="Arial"/>
                <w:szCs w:val="24"/>
              </w:rPr>
              <w:br w:type="page"/>
            </w:r>
            <w:r w:rsidRPr="003D68FC">
              <w:rPr>
                <w:rFonts w:cs="Arial"/>
                <w:b/>
                <w:szCs w:val="24"/>
              </w:rPr>
              <w:t>P</w:t>
            </w: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A1" w:rsidRPr="003D68FC" w:rsidRDefault="004B26A1">
            <w:pPr>
              <w:rPr>
                <w:rFonts w:cs="Arial"/>
                <w:smallCaps/>
                <w:szCs w:val="24"/>
              </w:rPr>
            </w:pPr>
            <w:r w:rsidRPr="003D68FC">
              <w:rPr>
                <w:rFonts w:cs="Arial"/>
                <w:smallCaps/>
                <w:szCs w:val="24"/>
              </w:rPr>
              <w:t>Plan The Pilot Improvement And The Data Collection</w:t>
            </w:r>
          </w:p>
        </w:tc>
      </w:tr>
      <w:tr w:rsidR="004B26A1" w:rsidRPr="003D68FC" w:rsidTr="00D77F6B">
        <w:tc>
          <w:tcPr>
            <w:tcW w:w="918" w:type="dxa"/>
            <w:tcBorders>
              <w:top w:val="double" w:sz="12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66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DA7C2D" w:rsidRPr="003D68FC" w:rsidRDefault="001B4F02" w:rsidP="00DA7C2D">
            <w:pPr>
              <w:rPr>
                <w:rFonts w:cs="Arial"/>
                <w:szCs w:val="24"/>
              </w:rPr>
            </w:pPr>
            <w:r w:rsidRPr="003D68FC">
              <w:rPr>
                <w:rFonts w:cs="Arial"/>
                <w:szCs w:val="24"/>
              </w:rPr>
              <w:t>In addition to the Dartmouth QOL Questionnaire, the</w:t>
            </w:r>
            <w:r w:rsidR="00D22CD6" w:rsidRPr="003D68FC">
              <w:rPr>
                <w:rFonts w:cs="Arial"/>
                <w:szCs w:val="24"/>
              </w:rPr>
              <w:t xml:space="preserve"> program staff proposed that </w:t>
            </w:r>
            <w:r w:rsidR="00DA7C2D" w:rsidRPr="003D68FC">
              <w:rPr>
                <w:rFonts w:cs="Arial"/>
                <w:szCs w:val="24"/>
              </w:rPr>
              <w:t>the Patient Health Questionnaire-9 (PHQ-9)</w:t>
            </w:r>
            <w:r w:rsidR="00D22CD6" w:rsidRPr="003D68FC">
              <w:rPr>
                <w:rFonts w:cs="Arial"/>
                <w:szCs w:val="24"/>
              </w:rPr>
              <w:t xml:space="preserve"> be administered to patients</w:t>
            </w:r>
            <w:r w:rsidR="00DA7C2D" w:rsidRPr="003D68FC">
              <w:rPr>
                <w:rFonts w:cs="Arial"/>
                <w:szCs w:val="24"/>
              </w:rPr>
              <w:t xml:space="preserve"> upon admission to and </w:t>
            </w:r>
            <w:r w:rsidRPr="003D68FC">
              <w:rPr>
                <w:rFonts w:cs="Arial"/>
                <w:szCs w:val="24"/>
              </w:rPr>
              <w:t xml:space="preserve">again at </w:t>
            </w:r>
            <w:r w:rsidR="00DA7C2D" w:rsidRPr="003D68FC">
              <w:rPr>
                <w:rFonts w:cs="Arial"/>
                <w:szCs w:val="24"/>
              </w:rPr>
              <w:t>discharge from</w:t>
            </w:r>
            <w:r w:rsidR="00D22CD6" w:rsidRPr="003D68FC">
              <w:rPr>
                <w:rFonts w:cs="Arial"/>
                <w:szCs w:val="24"/>
              </w:rPr>
              <w:t xml:space="preserve"> </w:t>
            </w:r>
            <w:r w:rsidR="00DA7C2D" w:rsidRPr="003D68FC">
              <w:rPr>
                <w:rFonts w:cs="Arial"/>
                <w:szCs w:val="24"/>
              </w:rPr>
              <w:t xml:space="preserve">the Cardiac Rehabilitation program. The PHQ-9 is a nine-item depression scale designed to screen for depression. Patients who score 15 or higher on the initial PHQ-9 (indicating the likelihood of moderately severe or severe depression) </w:t>
            </w:r>
            <w:r w:rsidR="00D22CD6" w:rsidRPr="003D68FC">
              <w:rPr>
                <w:rFonts w:cs="Arial"/>
                <w:szCs w:val="24"/>
              </w:rPr>
              <w:t xml:space="preserve">would </w:t>
            </w:r>
            <w:r w:rsidR="00DA7C2D" w:rsidRPr="003D68FC">
              <w:rPr>
                <w:rFonts w:cs="Arial"/>
                <w:szCs w:val="24"/>
              </w:rPr>
              <w:t>receive the following interventions:</w:t>
            </w:r>
          </w:p>
          <w:p w:rsidR="00DA7C2D" w:rsidRPr="003D68FC" w:rsidRDefault="00DA7C2D" w:rsidP="00DA7C2D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3D68FC">
              <w:rPr>
                <w:rFonts w:cs="Arial"/>
                <w:szCs w:val="24"/>
              </w:rPr>
              <w:t>The patient is questioned regarding suicidal ideation by the nursing staff</w:t>
            </w:r>
          </w:p>
          <w:p w:rsidR="00DA7C2D" w:rsidRPr="003D68FC" w:rsidRDefault="00DA7C2D" w:rsidP="00DA7C2D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3D68FC">
              <w:rPr>
                <w:rFonts w:cs="Arial"/>
                <w:szCs w:val="24"/>
              </w:rPr>
              <w:t>The Medical Director is notified of their condition</w:t>
            </w:r>
          </w:p>
          <w:p w:rsidR="00DA7C2D" w:rsidRPr="003D68FC" w:rsidRDefault="00DA7C2D" w:rsidP="00DA7C2D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3D68FC">
              <w:rPr>
                <w:rFonts w:cs="Arial"/>
                <w:szCs w:val="24"/>
              </w:rPr>
              <w:lastRenderedPageBreak/>
              <w:t xml:space="preserve">The Medical Director then notifies their Primary Care Physician </w:t>
            </w:r>
          </w:p>
          <w:p w:rsidR="00B2532C" w:rsidRPr="003D68FC" w:rsidRDefault="00DA7C2D" w:rsidP="003D68FC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3D68FC">
              <w:rPr>
                <w:rFonts w:cs="Arial"/>
                <w:szCs w:val="24"/>
              </w:rPr>
              <w:t>The Medical Director makes a referral for behavioral health treatment (follows up to see if the behavioral health referral has been followed up)</w:t>
            </w:r>
          </w:p>
        </w:tc>
      </w:tr>
      <w:tr w:rsidR="004B26A1" w:rsidRPr="003D68FC" w:rsidTr="00D77F6B">
        <w:tc>
          <w:tcPr>
            <w:tcW w:w="9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  <w:r w:rsidRPr="003D68FC">
              <w:rPr>
                <w:rFonts w:cs="Arial"/>
                <w:b/>
                <w:szCs w:val="24"/>
              </w:rPr>
              <w:lastRenderedPageBreak/>
              <w:t>D</w:t>
            </w:r>
          </w:p>
        </w:tc>
        <w:tc>
          <w:tcPr>
            <w:tcW w:w="8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B26A1" w:rsidRPr="003D68FC" w:rsidRDefault="004B26A1">
            <w:pPr>
              <w:pBdr>
                <w:top w:val="single" w:sz="6" w:space="1" w:color="auto"/>
              </w:pBdr>
              <w:rPr>
                <w:rFonts w:cs="Arial"/>
                <w:smallCaps/>
                <w:szCs w:val="24"/>
              </w:rPr>
            </w:pPr>
            <w:r w:rsidRPr="003D68FC">
              <w:rPr>
                <w:rFonts w:cs="Arial"/>
                <w:smallCaps/>
                <w:szCs w:val="24"/>
              </w:rPr>
              <w:t>Do The Pilot Improvement And Collect The Data</w:t>
            </w:r>
          </w:p>
        </w:tc>
      </w:tr>
      <w:tr w:rsidR="004B26A1" w:rsidRPr="003D68FC" w:rsidTr="00D77F6B">
        <w:tc>
          <w:tcPr>
            <w:tcW w:w="918" w:type="dxa"/>
            <w:tcBorders>
              <w:top w:val="nil"/>
              <w:left w:val="single" w:sz="6" w:space="0" w:color="auto"/>
              <w:bottom w:val="double" w:sz="12" w:space="0" w:color="auto"/>
              <w:right w:val="nil"/>
            </w:tcBorders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26A1" w:rsidRPr="003D68FC" w:rsidRDefault="009D78C8" w:rsidP="009D78C8">
            <w:pPr>
              <w:rPr>
                <w:rFonts w:cs="Arial"/>
                <w:szCs w:val="24"/>
              </w:rPr>
            </w:pPr>
            <w:r w:rsidRPr="003D68FC">
              <w:rPr>
                <w:rFonts w:cs="Arial"/>
                <w:szCs w:val="24"/>
              </w:rPr>
              <w:t>In September of 2012 the procedure detailed above was implemented, including the collection of pre- and post-treatment scores on the PHQ-9.</w:t>
            </w:r>
          </w:p>
        </w:tc>
      </w:tr>
      <w:tr w:rsidR="004B26A1" w:rsidRPr="003D68FC" w:rsidTr="00D77F6B">
        <w:tc>
          <w:tcPr>
            <w:tcW w:w="91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  <w:r w:rsidRPr="003D68FC">
              <w:rPr>
                <w:rFonts w:cs="Arial"/>
                <w:b/>
                <w:szCs w:val="24"/>
              </w:rPr>
              <w:t>C</w:t>
            </w: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26A1" w:rsidRPr="003D68FC" w:rsidRDefault="004B26A1">
            <w:pPr>
              <w:rPr>
                <w:rFonts w:cs="Arial"/>
                <w:smallCaps/>
                <w:szCs w:val="24"/>
              </w:rPr>
            </w:pPr>
            <w:r w:rsidRPr="003D68FC">
              <w:rPr>
                <w:rFonts w:cs="Arial"/>
                <w:smallCaps/>
                <w:szCs w:val="24"/>
              </w:rPr>
              <w:t>Check The Results Of The Implementation</w:t>
            </w:r>
          </w:p>
        </w:tc>
      </w:tr>
      <w:tr w:rsidR="004B26A1" w:rsidRPr="003D68FC" w:rsidTr="00D77F6B">
        <w:tc>
          <w:tcPr>
            <w:tcW w:w="918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</w:tcPr>
          <w:p w:rsidR="004B26A1" w:rsidRPr="003D68FC" w:rsidRDefault="004B26A1" w:rsidP="00A36BBA">
            <w:pPr>
              <w:rPr>
                <w:rFonts w:cs="Arial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8C8" w:rsidRPr="003D68FC" w:rsidRDefault="009D78C8" w:rsidP="00A36BBA">
            <w:pPr>
              <w:rPr>
                <w:rFonts w:cs="Arial"/>
                <w:szCs w:val="24"/>
              </w:rPr>
            </w:pPr>
            <w:r w:rsidRPr="003D68FC">
              <w:rPr>
                <w:rFonts w:cs="Arial"/>
                <w:szCs w:val="24"/>
              </w:rPr>
              <w:t>The following measurements will be used to determine the success of the process and program effectiveness:</w:t>
            </w:r>
          </w:p>
          <w:p w:rsidR="009D78C8" w:rsidRPr="003D68FC" w:rsidRDefault="009D78C8" w:rsidP="009D78C8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3D68FC">
              <w:rPr>
                <w:rFonts w:cs="Arial"/>
                <w:szCs w:val="24"/>
              </w:rPr>
              <w:t>Number of patients referred to Medical Director/ Number of patients with elevated scores greater than 15.</w:t>
            </w:r>
          </w:p>
          <w:p w:rsidR="009D78C8" w:rsidRPr="003D68FC" w:rsidRDefault="009D78C8" w:rsidP="009D78C8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4"/>
              </w:rPr>
            </w:pPr>
            <w:r w:rsidRPr="003D68FC">
              <w:rPr>
                <w:rFonts w:cs="Arial"/>
                <w:szCs w:val="24"/>
              </w:rPr>
              <w:t>Benchmark pre/post PHQ-9 scores with the AACVPR National Registry</w:t>
            </w:r>
          </w:p>
          <w:p w:rsidR="00A36BBA" w:rsidRPr="003D68FC" w:rsidRDefault="009D78C8" w:rsidP="003D68FC">
            <w:pPr>
              <w:rPr>
                <w:rFonts w:cs="Arial"/>
                <w:szCs w:val="24"/>
              </w:rPr>
            </w:pPr>
            <w:r w:rsidRPr="003D68FC">
              <w:rPr>
                <w:rFonts w:cs="Arial"/>
                <w:szCs w:val="24"/>
              </w:rPr>
              <w:t>Data entry into the National Registry began in Jan. 2013 and results</w:t>
            </w:r>
            <w:r w:rsidR="00A36BBA" w:rsidRPr="003D68FC">
              <w:rPr>
                <w:rFonts w:cs="Arial"/>
                <w:szCs w:val="24"/>
              </w:rPr>
              <w:t xml:space="preserve"> are pending at this time</w:t>
            </w:r>
            <w:r w:rsidRPr="003D68FC">
              <w:rPr>
                <w:rFonts w:cs="Arial"/>
                <w:szCs w:val="24"/>
              </w:rPr>
              <w:t xml:space="preserve">. </w:t>
            </w:r>
          </w:p>
        </w:tc>
      </w:tr>
      <w:tr w:rsidR="004B26A1" w:rsidRPr="003D68FC" w:rsidTr="00D77F6B">
        <w:tc>
          <w:tcPr>
            <w:tcW w:w="918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pct5" w:color="auto" w:fill="auto"/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  <w:r w:rsidRPr="003D68FC">
              <w:rPr>
                <w:rFonts w:cs="Arial"/>
                <w:b/>
                <w:szCs w:val="24"/>
              </w:rPr>
              <w:t>A</w:t>
            </w:r>
          </w:p>
        </w:tc>
        <w:tc>
          <w:tcPr>
            <w:tcW w:w="8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26A1" w:rsidRPr="003D68FC" w:rsidRDefault="004B26A1">
            <w:pPr>
              <w:rPr>
                <w:rFonts w:cs="Arial"/>
                <w:smallCaps/>
                <w:szCs w:val="24"/>
              </w:rPr>
            </w:pPr>
            <w:r w:rsidRPr="003D68FC">
              <w:rPr>
                <w:rFonts w:cs="Arial"/>
                <w:smallCaps/>
                <w:szCs w:val="24"/>
              </w:rPr>
              <w:t>Act To Hold The Gain And Continue Improvement</w:t>
            </w:r>
          </w:p>
        </w:tc>
      </w:tr>
      <w:tr w:rsidR="004B26A1" w:rsidRPr="003D68FC" w:rsidTr="00D77F6B">
        <w:tc>
          <w:tcPr>
            <w:tcW w:w="91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26A1" w:rsidRPr="003D68FC" w:rsidRDefault="004B26A1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26A1" w:rsidRPr="003D68FC" w:rsidRDefault="009D78C8" w:rsidP="003D68FC">
            <w:pPr>
              <w:rPr>
                <w:rFonts w:cs="Arial"/>
                <w:smallCaps/>
                <w:szCs w:val="24"/>
              </w:rPr>
            </w:pPr>
            <w:r w:rsidRPr="003D68FC">
              <w:rPr>
                <w:rFonts w:cs="Arial"/>
                <w:szCs w:val="24"/>
              </w:rPr>
              <w:t xml:space="preserve">Patients identified by the PHQ-9 as having moderately severe or severe depression are now recognized early, closely monitored and referred for treatment/counseling. </w:t>
            </w:r>
          </w:p>
        </w:tc>
      </w:tr>
    </w:tbl>
    <w:p w:rsidR="003F7614" w:rsidRPr="003D68FC" w:rsidRDefault="003F7614">
      <w:pPr>
        <w:rPr>
          <w:rFonts w:cs="Arial"/>
          <w:szCs w:val="24"/>
        </w:rPr>
      </w:pPr>
    </w:p>
    <w:sectPr w:rsidR="003F7614" w:rsidRPr="003D68FC" w:rsidSect="00E4426A">
      <w:headerReference w:type="default" r:id="rId7"/>
      <w:pgSz w:w="12240" w:h="15840"/>
      <w:pgMar w:top="720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A3" w:rsidRDefault="001864A3">
      <w:r>
        <w:separator/>
      </w:r>
    </w:p>
  </w:endnote>
  <w:endnote w:type="continuationSeparator" w:id="0">
    <w:p w:rsidR="001864A3" w:rsidRDefault="0018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A3" w:rsidRDefault="001864A3">
      <w:r>
        <w:separator/>
      </w:r>
    </w:p>
  </w:footnote>
  <w:footnote w:type="continuationSeparator" w:id="0">
    <w:p w:rsidR="001864A3" w:rsidRDefault="00186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A3" w:rsidRDefault="001864A3">
    <w:pPr>
      <w:pStyle w:val="Header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0A9"/>
    <w:multiLevelType w:val="hybridMultilevel"/>
    <w:tmpl w:val="94A64192"/>
    <w:lvl w:ilvl="0" w:tplc="DAE40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42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C6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2A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47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5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07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C5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69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822265"/>
    <w:multiLevelType w:val="hybridMultilevel"/>
    <w:tmpl w:val="5F14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7F2E"/>
    <w:multiLevelType w:val="hybridMultilevel"/>
    <w:tmpl w:val="B9383046"/>
    <w:lvl w:ilvl="0" w:tplc="7D4E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3AF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24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63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E7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EC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0E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67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2E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E9614E"/>
    <w:multiLevelType w:val="hybridMultilevel"/>
    <w:tmpl w:val="04604858"/>
    <w:lvl w:ilvl="0" w:tplc="A41651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7F213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0E7D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4A98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B8DC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EED4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9E6A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B986B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9ECE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529274B4"/>
    <w:multiLevelType w:val="hybridMultilevel"/>
    <w:tmpl w:val="D5E8B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3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D7432"/>
    <w:rsid w:val="000B4548"/>
    <w:rsid w:val="000D7432"/>
    <w:rsid w:val="0010380F"/>
    <w:rsid w:val="00163E1B"/>
    <w:rsid w:val="001850F4"/>
    <w:rsid w:val="001864A3"/>
    <w:rsid w:val="00192896"/>
    <w:rsid w:val="001B4F02"/>
    <w:rsid w:val="00255F42"/>
    <w:rsid w:val="003647A2"/>
    <w:rsid w:val="003A0EB7"/>
    <w:rsid w:val="003D68FC"/>
    <w:rsid w:val="003F2760"/>
    <w:rsid w:val="003F7614"/>
    <w:rsid w:val="0041471D"/>
    <w:rsid w:val="00431028"/>
    <w:rsid w:val="0046222F"/>
    <w:rsid w:val="004B26A1"/>
    <w:rsid w:val="00540137"/>
    <w:rsid w:val="005B1125"/>
    <w:rsid w:val="005D7A2C"/>
    <w:rsid w:val="006373B6"/>
    <w:rsid w:val="0070493C"/>
    <w:rsid w:val="00796301"/>
    <w:rsid w:val="007C1993"/>
    <w:rsid w:val="00870C52"/>
    <w:rsid w:val="00876691"/>
    <w:rsid w:val="008B316F"/>
    <w:rsid w:val="008E4F43"/>
    <w:rsid w:val="008E6B91"/>
    <w:rsid w:val="00910040"/>
    <w:rsid w:val="009255B8"/>
    <w:rsid w:val="00984C42"/>
    <w:rsid w:val="009D78C8"/>
    <w:rsid w:val="00A36BBA"/>
    <w:rsid w:val="00A508BC"/>
    <w:rsid w:val="00A61002"/>
    <w:rsid w:val="00AF6DF4"/>
    <w:rsid w:val="00B2532C"/>
    <w:rsid w:val="00B26452"/>
    <w:rsid w:val="00B27532"/>
    <w:rsid w:val="00BB3402"/>
    <w:rsid w:val="00BC6D2B"/>
    <w:rsid w:val="00BC7F5D"/>
    <w:rsid w:val="00BD0496"/>
    <w:rsid w:val="00C77EE0"/>
    <w:rsid w:val="00C929B0"/>
    <w:rsid w:val="00D16A25"/>
    <w:rsid w:val="00D22CD6"/>
    <w:rsid w:val="00D6439C"/>
    <w:rsid w:val="00D77F6B"/>
    <w:rsid w:val="00DA7C2D"/>
    <w:rsid w:val="00DD4BB2"/>
    <w:rsid w:val="00E4426A"/>
    <w:rsid w:val="00E641DE"/>
    <w:rsid w:val="00EC642D"/>
    <w:rsid w:val="00EE2312"/>
    <w:rsid w:val="00EF3A9A"/>
    <w:rsid w:val="00F00902"/>
    <w:rsid w:val="00F43E9B"/>
    <w:rsid w:val="00F57D79"/>
    <w:rsid w:val="00FD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2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4426A"/>
    <w:pPr>
      <w:keepNext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2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2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E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B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6B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50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9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2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IMPROVEMENT TEAM</vt:lpstr>
    </vt:vector>
  </TitlesOfParts>
  <Company>Centura Health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IMPROVEMENT TEAM</dc:title>
  <dc:subject/>
  <dc:creator>Claudia G. Stafford</dc:creator>
  <cp:keywords/>
  <dc:description/>
  <cp:lastModifiedBy>dnussdor</cp:lastModifiedBy>
  <cp:revision>3</cp:revision>
  <cp:lastPrinted>2013-01-17T23:06:00Z</cp:lastPrinted>
  <dcterms:created xsi:type="dcterms:W3CDTF">2013-02-20T22:35:00Z</dcterms:created>
  <dcterms:modified xsi:type="dcterms:W3CDTF">2013-02-21T16:39:00Z</dcterms:modified>
</cp:coreProperties>
</file>