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99" w:rsidRDefault="00BE0B1A" w:rsidP="005F2B99">
      <w:pPr>
        <w:rPr>
          <w:sz w:val="24"/>
          <w:u w:val="none"/>
        </w:rPr>
      </w:pPr>
      <w:r>
        <w:rPr>
          <w:sz w:val="24"/>
          <w:u w:val="none"/>
        </w:rPr>
        <w:t>EP30-1</w:t>
      </w:r>
      <w:r w:rsidR="00AC5F1E">
        <w:rPr>
          <w:sz w:val="24"/>
          <w:u w:val="none"/>
        </w:rPr>
        <w:t>6</w:t>
      </w:r>
      <w:r>
        <w:rPr>
          <w:sz w:val="24"/>
          <w:u w:val="none"/>
        </w:rPr>
        <w:t xml:space="preserve">   </w:t>
      </w:r>
      <w:r w:rsidR="005F2B99">
        <w:rPr>
          <w:sz w:val="24"/>
          <w:u w:val="none"/>
        </w:rPr>
        <w:t>Penrose-St. Francis Health</w:t>
      </w:r>
      <w:r w:rsidR="00464F5A">
        <w:rPr>
          <w:sz w:val="24"/>
          <w:u w:val="none"/>
        </w:rPr>
        <w:t xml:space="preserve"> Services</w:t>
      </w:r>
      <w:r w:rsidR="005F2B99">
        <w:rPr>
          <w:sz w:val="24"/>
          <w:u w:val="none"/>
        </w:rPr>
        <w:t xml:space="preserve">                                  </w:t>
      </w:r>
    </w:p>
    <w:p w:rsidR="00BE0B1A" w:rsidRDefault="00BE0B1A" w:rsidP="005F2B99">
      <w:pPr>
        <w:rPr>
          <w:b/>
          <w:bCs/>
          <w:sz w:val="24"/>
          <w:u w:val="none"/>
        </w:rPr>
      </w:pPr>
    </w:p>
    <w:p w:rsidR="005F2B99" w:rsidRDefault="00764D66" w:rsidP="005F2B99">
      <w:pPr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SECURITY</w:t>
      </w:r>
      <w:r w:rsidR="005F2B99">
        <w:rPr>
          <w:b/>
          <w:bCs/>
          <w:sz w:val="24"/>
          <w:u w:val="none"/>
        </w:rPr>
        <w:t xml:space="preserve"> MANAGEMENT PLAN</w:t>
      </w:r>
      <w:r w:rsidR="005D6C0C">
        <w:rPr>
          <w:b/>
          <w:bCs/>
          <w:sz w:val="24"/>
          <w:u w:val="none"/>
        </w:rPr>
        <w:t xml:space="preserve"> – FISCAL YEAR 201</w:t>
      </w:r>
      <w:r w:rsidR="00FA2B0D">
        <w:rPr>
          <w:b/>
          <w:bCs/>
          <w:sz w:val="24"/>
          <w:u w:val="none"/>
        </w:rPr>
        <w:t>3</w:t>
      </w:r>
    </w:p>
    <w:p w:rsidR="005F2B99" w:rsidRDefault="005F2B99" w:rsidP="005F2B99">
      <w:pPr>
        <w:pStyle w:val="Heading1"/>
      </w:pPr>
      <w:r>
        <w:t xml:space="preserve">Environment of Care Plans                                                                  </w:t>
      </w:r>
      <w:r w:rsidR="00D82513">
        <w:t xml:space="preserve"> </w:t>
      </w:r>
      <w:r>
        <w:t xml:space="preserve"> Policy NO EC </w:t>
      </w:r>
      <w:r w:rsidR="00764D66">
        <w:t>01.01.01</w:t>
      </w:r>
    </w:p>
    <w:p w:rsidR="005F2B99" w:rsidRDefault="005F2B99" w:rsidP="005F2B99">
      <w:pPr>
        <w:pStyle w:val="Heading1"/>
        <w:tabs>
          <w:tab w:val="left" w:pos="3137"/>
          <w:tab w:val="left" w:pos="7166"/>
        </w:tabs>
        <w:rPr>
          <w:rStyle w:val="PageNumber"/>
          <w:szCs w:val="20"/>
        </w:rPr>
      </w:pPr>
      <w:r>
        <w:t xml:space="preserve">Revision: </w:t>
      </w:r>
      <w:r w:rsidR="000433D7">
        <w:t>7/20</w:t>
      </w:r>
      <w:r w:rsidR="006E37EB">
        <w:t>1</w:t>
      </w:r>
      <w:r w:rsidR="00BE7F6F">
        <w:t>2</w:t>
      </w:r>
      <w:r>
        <w:t xml:space="preserve"> Reviewed:</w:t>
      </w:r>
      <w:r w:rsidR="00004911">
        <w:tab/>
      </w:r>
      <w:r>
        <w:tab/>
      </w:r>
      <w:r w:rsidR="00D82513">
        <w:t xml:space="preserve">       </w:t>
      </w:r>
      <w:r>
        <w:t xml:space="preserve">Page </w:t>
      </w:r>
      <w:r w:rsidR="00601CDD">
        <w:rPr>
          <w:rStyle w:val="PageNumber"/>
          <w:szCs w:val="20"/>
        </w:rPr>
        <w:fldChar w:fldCharType="begin"/>
      </w:r>
      <w:r>
        <w:rPr>
          <w:rStyle w:val="PageNumber"/>
          <w:szCs w:val="20"/>
        </w:rPr>
        <w:instrText xml:space="preserve"> PAGE </w:instrText>
      </w:r>
      <w:r w:rsidR="00601CDD">
        <w:rPr>
          <w:rStyle w:val="PageNumber"/>
          <w:szCs w:val="20"/>
        </w:rPr>
        <w:fldChar w:fldCharType="separate"/>
      </w:r>
      <w:r w:rsidR="00427403">
        <w:rPr>
          <w:rStyle w:val="PageNumber"/>
          <w:noProof/>
          <w:szCs w:val="20"/>
        </w:rPr>
        <w:t>1</w:t>
      </w:r>
      <w:r w:rsidR="00601CDD">
        <w:rPr>
          <w:rStyle w:val="PageNumber"/>
          <w:szCs w:val="20"/>
        </w:rPr>
        <w:fldChar w:fldCharType="end"/>
      </w:r>
      <w:r w:rsidR="001A35D3">
        <w:rPr>
          <w:rStyle w:val="PageNumber"/>
          <w:szCs w:val="20"/>
        </w:rPr>
        <w:t xml:space="preserve"> of 4</w:t>
      </w:r>
    </w:p>
    <w:p w:rsidR="00004911" w:rsidRDefault="005F2B99" w:rsidP="005F2B99">
      <w:pPr>
        <w:pStyle w:val="Header"/>
        <w:rPr>
          <w:b/>
        </w:rPr>
      </w:pPr>
      <w:r>
        <w:t>Approved:</w:t>
      </w:r>
      <w:r w:rsidR="00D82513">
        <w:t xml:space="preserve">  </w:t>
      </w:r>
      <w:r w:rsidR="00004911">
        <w:rPr>
          <w:b/>
        </w:rPr>
        <w:t>Security</w:t>
      </w:r>
      <w:r w:rsidR="00764D66" w:rsidRPr="00764D66">
        <w:rPr>
          <w:b/>
        </w:rPr>
        <w:t xml:space="preserve"> Sub-Committee </w:t>
      </w:r>
      <w:r w:rsidR="00764D66">
        <w:t xml:space="preserve">- </w:t>
      </w:r>
      <w:r w:rsidR="00D82513" w:rsidRPr="0072189B">
        <w:rPr>
          <w:b/>
        </w:rPr>
        <w:t xml:space="preserve">Environment of Care Committee </w:t>
      </w:r>
    </w:p>
    <w:p w:rsidR="005F2B99" w:rsidRDefault="005F2B99" w:rsidP="005F2B99">
      <w:pPr>
        <w:pStyle w:val="Header"/>
      </w:pPr>
      <w:r>
        <w:t xml:space="preserve">Department: </w:t>
      </w:r>
      <w:r w:rsidR="00004911">
        <w:rPr>
          <w:b/>
          <w:bCs/>
        </w:rPr>
        <w:t>Security</w:t>
      </w:r>
      <w:r>
        <w:rPr>
          <w:b/>
          <w:bCs/>
        </w:rPr>
        <w:t xml:space="preserve"> </w:t>
      </w:r>
      <w:r>
        <w:t>________________________________________________________________________</w:t>
      </w:r>
    </w:p>
    <w:p w:rsidR="00A93952" w:rsidRDefault="00A93952">
      <w:pPr>
        <w:pStyle w:val="Heading2"/>
      </w:pPr>
    </w:p>
    <w:p w:rsidR="00A93952" w:rsidRDefault="00A93952">
      <w:pPr>
        <w:rPr>
          <w:sz w:val="24"/>
        </w:rPr>
      </w:pPr>
      <w:r>
        <w:rPr>
          <w:sz w:val="24"/>
        </w:rPr>
        <w:t>PURPOSE/RATIONALE:</w:t>
      </w:r>
    </w:p>
    <w:p w:rsidR="00A93952" w:rsidRDefault="00A93952">
      <w:pPr>
        <w:rPr>
          <w:sz w:val="24"/>
        </w:rPr>
      </w:pPr>
    </w:p>
    <w:p w:rsidR="00936CD1" w:rsidRPr="00004911" w:rsidRDefault="00004911" w:rsidP="00936CD1">
      <w:pPr>
        <w:spacing w:after="60"/>
        <w:jc w:val="both"/>
        <w:rPr>
          <w:sz w:val="24"/>
          <w:u w:val="none"/>
        </w:rPr>
      </w:pPr>
      <w:r w:rsidRPr="007111B0">
        <w:rPr>
          <w:sz w:val="24"/>
          <w:u w:val="none"/>
        </w:rPr>
        <w:t xml:space="preserve">The purpose of the Security Management Plan is to support </w:t>
      </w:r>
      <w:r w:rsidR="00D4141D">
        <w:rPr>
          <w:sz w:val="24"/>
          <w:u w:val="none"/>
        </w:rPr>
        <w:t xml:space="preserve">the </w:t>
      </w:r>
      <w:r w:rsidRPr="007111B0">
        <w:rPr>
          <w:sz w:val="24"/>
          <w:u w:val="none"/>
        </w:rPr>
        <w:t xml:space="preserve">Penrose - St. Francis Health Services’ goal of providing a reasonably safe and secure environment for patients, visitors, associates, volunteers, medical staff, and vendors. The Security Management Plan </w:t>
      </w:r>
      <w:r w:rsidR="00936CD1">
        <w:rPr>
          <w:sz w:val="24"/>
          <w:u w:val="none"/>
        </w:rPr>
        <w:t xml:space="preserve">applies to </w:t>
      </w:r>
      <w:smartTag w:uri="urn:schemas-microsoft-com:office:smarttags" w:element="place">
        <w:smartTag w:uri="urn:schemas-microsoft-com:office:smarttags" w:element="PlaceName">
          <w:r w:rsidR="00936CD1">
            <w:rPr>
              <w:sz w:val="24"/>
              <w:u w:val="none"/>
            </w:rPr>
            <w:t>Penrose</w:t>
          </w:r>
        </w:smartTag>
        <w:r w:rsidR="00936CD1">
          <w:rPr>
            <w:sz w:val="24"/>
            <w:u w:val="none"/>
          </w:rPr>
          <w:t xml:space="preserve"> </w:t>
        </w:r>
        <w:smartTag w:uri="urn:schemas-microsoft-com:office:smarttags" w:element="PlaceName">
          <w:r w:rsidR="00936CD1">
            <w:rPr>
              <w:sz w:val="24"/>
              <w:u w:val="none"/>
            </w:rPr>
            <w:t>Main</w:t>
          </w:r>
        </w:smartTag>
        <w:r w:rsidR="00936CD1">
          <w:rPr>
            <w:sz w:val="24"/>
            <w:u w:val="none"/>
          </w:rPr>
          <w:t xml:space="preserve"> </w:t>
        </w:r>
        <w:smartTag w:uri="urn:schemas-microsoft-com:office:smarttags" w:element="PlaceType">
          <w:r w:rsidR="00936CD1">
            <w:rPr>
              <w:sz w:val="24"/>
              <w:u w:val="none"/>
            </w:rPr>
            <w:t>Hospital</w:t>
          </w:r>
        </w:smartTag>
      </w:smartTag>
      <w:r w:rsidR="00936CD1">
        <w:rPr>
          <w:sz w:val="24"/>
          <w:u w:val="none"/>
        </w:rPr>
        <w:t xml:space="preserve">, St. Francis Medical Center, St. Francis Health Center, and the Penrose Community Urgent Care.  </w:t>
      </w:r>
      <w:r w:rsidR="00576DD0">
        <w:rPr>
          <w:sz w:val="24"/>
          <w:u w:val="none"/>
        </w:rPr>
        <w:t xml:space="preserve">G4S </w:t>
      </w:r>
      <w:r w:rsidR="00D60EC1">
        <w:rPr>
          <w:sz w:val="24"/>
          <w:u w:val="none"/>
        </w:rPr>
        <w:t>Secure Solutions</w:t>
      </w:r>
      <w:r w:rsidR="00D4141D">
        <w:rPr>
          <w:sz w:val="24"/>
          <w:u w:val="none"/>
        </w:rPr>
        <w:t xml:space="preserve"> </w:t>
      </w:r>
      <w:r w:rsidR="00936CD1" w:rsidRPr="007111B0">
        <w:rPr>
          <w:sz w:val="24"/>
          <w:u w:val="none"/>
        </w:rPr>
        <w:t>provides security services to</w:t>
      </w:r>
      <w:r w:rsidR="00D4141D">
        <w:rPr>
          <w:sz w:val="24"/>
          <w:u w:val="none"/>
        </w:rPr>
        <w:t xml:space="preserve"> all</w:t>
      </w:r>
      <w:r w:rsidR="00936CD1" w:rsidRPr="007111B0">
        <w:rPr>
          <w:sz w:val="24"/>
          <w:u w:val="none"/>
        </w:rPr>
        <w:t xml:space="preserve"> </w:t>
      </w:r>
      <w:bookmarkStart w:id="0" w:name="OLE_LINK1"/>
      <w:r w:rsidR="00936CD1" w:rsidRPr="007111B0">
        <w:rPr>
          <w:sz w:val="24"/>
          <w:u w:val="none"/>
        </w:rPr>
        <w:t xml:space="preserve">Penrose - St. Francis </w:t>
      </w:r>
      <w:bookmarkEnd w:id="0"/>
      <w:r w:rsidR="00936CD1" w:rsidRPr="007111B0">
        <w:rPr>
          <w:sz w:val="24"/>
          <w:u w:val="none"/>
        </w:rPr>
        <w:t>Health Services</w:t>
      </w:r>
      <w:r w:rsidR="00D4141D">
        <w:rPr>
          <w:sz w:val="24"/>
          <w:u w:val="none"/>
        </w:rPr>
        <w:t xml:space="preserve"> facilities</w:t>
      </w:r>
      <w:r w:rsidR="00936CD1" w:rsidRPr="007111B0">
        <w:rPr>
          <w:sz w:val="24"/>
          <w:u w:val="none"/>
        </w:rPr>
        <w:t>.</w:t>
      </w:r>
      <w:r w:rsidR="00B67D60">
        <w:rPr>
          <w:sz w:val="24"/>
          <w:u w:val="none"/>
        </w:rPr>
        <w:t xml:space="preserve"> </w:t>
      </w:r>
    </w:p>
    <w:p w:rsidR="00936CD1" w:rsidRDefault="00936CD1" w:rsidP="00004911">
      <w:pPr>
        <w:jc w:val="both"/>
        <w:rPr>
          <w:sz w:val="24"/>
          <w:u w:val="none"/>
        </w:rPr>
      </w:pPr>
    </w:p>
    <w:p w:rsidR="00004911" w:rsidRPr="00004911" w:rsidRDefault="00936CD1" w:rsidP="00004911">
      <w:pPr>
        <w:jc w:val="both"/>
        <w:rPr>
          <w:sz w:val="24"/>
          <w:u w:val="none"/>
        </w:rPr>
      </w:pPr>
      <w:r>
        <w:rPr>
          <w:sz w:val="24"/>
          <w:u w:val="none"/>
        </w:rPr>
        <w:t xml:space="preserve">This plan </w:t>
      </w:r>
      <w:r w:rsidR="00004911" w:rsidRPr="007111B0">
        <w:rPr>
          <w:sz w:val="24"/>
          <w:u w:val="none"/>
        </w:rPr>
        <w:t>supports the mission, vision, and values of Penrose - St. Francis Health Services, as well as the general safety policies and all regulatory requirements.</w:t>
      </w:r>
      <w:r w:rsidR="007111B0" w:rsidRPr="007111B0">
        <w:rPr>
          <w:sz w:val="24"/>
          <w:u w:val="none"/>
        </w:rPr>
        <w:t xml:space="preserve">  </w:t>
      </w:r>
      <w:r>
        <w:rPr>
          <w:sz w:val="24"/>
          <w:u w:val="none"/>
        </w:rPr>
        <w:t xml:space="preserve">The Penrose – </w:t>
      </w:r>
      <w:r w:rsidR="00096B3E">
        <w:rPr>
          <w:sz w:val="24"/>
          <w:u w:val="none"/>
        </w:rPr>
        <w:t>S</w:t>
      </w:r>
      <w:r>
        <w:rPr>
          <w:sz w:val="24"/>
          <w:u w:val="none"/>
        </w:rPr>
        <w:t>t. Francis Health Services Environment of Care Committee reviews and approves the Security Management Plan annually.</w:t>
      </w:r>
      <w:r w:rsidR="00B67D60">
        <w:rPr>
          <w:sz w:val="24"/>
          <w:u w:val="none"/>
        </w:rPr>
        <w:t xml:space="preserve"> </w:t>
      </w:r>
    </w:p>
    <w:p w:rsidR="00A93952" w:rsidRDefault="00A93952">
      <w:pPr>
        <w:rPr>
          <w:sz w:val="24"/>
          <w:u w:val="none"/>
        </w:rPr>
      </w:pPr>
    </w:p>
    <w:p w:rsidR="00A93952" w:rsidRDefault="000433D7">
      <w:pPr>
        <w:rPr>
          <w:sz w:val="24"/>
        </w:rPr>
      </w:pPr>
      <w:r>
        <w:rPr>
          <w:sz w:val="24"/>
        </w:rPr>
        <w:t>OBJECTIVES</w:t>
      </w:r>
      <w:r w:rsidR="00A93952">
        <w:rPr>
          <w:sz w:val="24"/>
        </w:rPr>
        <w:t>:</w:t>
      </w:r>
    </w:p>
    <w:p w:rsidR="00A93952" w:rsidRDefault="00A93952">
      <w:pPr>
        <w:rPr>
          <w:sz w:val="24"/>
        </w:rPr>
      </w:pPr>
    </w:p>
    <w:p w:rsidR="007111B0" w:rsidRDefault="00004911" w:rsidP="00936CD1">
      <w:pPr>
        <w:spacing w:after="60"/>
        <w:jc w:val="both"/>
        <w:rPr>
          <w:sz w:val="24"/>
          <w:u w:val="none"/>
        </w:rPr>
      </w:pPr>
      <w:r w:rsidRPr="00004911">
        <w:rPr>
          <w:sz w:val="24"/>
          <w:u w:val="none"/>
        </w:rPr>
        <w:t xml:space="preserve">The Security Management Plan is a risk reduction program designed to identify potential risks, assess possible corrective measures, and generally reduce property losses and potential personal injuries at the facilities </w:t>
      </w:r>
      <w:r w:rsidR="007111B0">
        <w:rPr>
          <w:sz w:val="24"/>
          <w:u w:val="none"/>
        </w:rPr>
        <w:t>through the following processes</w:t>
      </w:r>
      <w:r w:rsidRPr="00004911">
        <w:rPr>
          <w:sz w:val="24"/>
          <w:u w:val="none"/>
        </w:rPr>
        <w:t>:</w:t>
      </w:r>
      <w:r w:rsidR="00936CD1" w:rsidRPr="00936CD1">
        <w:rPr>
          <w:sz w:val="24"/>
          <w:u w:val="none"/>
        </w:rPr>
        <w:t xml:space="preserve"> </w:t>
      </w:r>
      <w:r w:rsidR="00D800C3">
        <w:rPr>
          <w:sz w:val="24"/>
          <w:u w:val="none"/>
        </w:rPr>
        <w:t xml:space="preserve">The </w:t>
      </w:r>
      <w:r w:rsidR="00D4141D">
        <w:rPr>
          <w:sz w:val="24"/>
          <w:u w:val="none"/>
        </w:rPr>
        <w:t>Security</w:t>
      </w:r>
      <w:r w:rsidR="00D800C3">
        <w:rPr>
          <w:sz w:val="24"/>
          <w:u w:val="none"/>
        </w:rPr>
        <w:t xml:space="preserve"> Program Manager oversees day-to</w:t>
      </w:r>
      <w:r w:rsidR="00C20EA6">
        <w:rPr>
          <w:sz w:val="24"/>
          <w:u w:val="none"/>
        </w:rPr>
        <w:t>-</w:t>
      </w:r>
      <w:r w:rsidR="00D800C3">
        <w:rPr>
          <w:sz w:val="24"/>
          <w:u w:val="none"/>
        </w:rPr>
        <w:t xml:space="preserve">day security operations in an effort to provide a reasonable safe and secure environment.  The Director of Support Services is ultimately responsible for overseeing implementation, development and monitoring of the </w:t>
      </w:r>
      <w:r w:rsidR="00C20EA6">
        <w:rPr>
          <w:sz w:val="24"/>
          <w:u w:val="none"/>
        </w:rPr>
        <w:t xml:space="preserve">Security Program for </w:t>
      </w:r>
      <w:r w:rsidR="007111B0">
        <w:rPr>
          <w:sz w:val="24"/>
          <w:u w:val="none"/>
        </w:rPr>
        <w:t>Penrose – St. Francis</w:t>
      </w:r>
      <w:r w:rsidR="00C20EA6">
        <w:rPr>
          <w:sz w:val="24"/>
          <w:u w:val="none"/>
        </w:rPr>
        <w:t xml:space="preserve"> Health Services</w:t>
      </w:r>
      <w:r w:rsidR="00D4141D">
        <w:rPr>
          <w:sz w:val="24"/>
          <w:u w:val="none"/>
        </w:rPr>
        <w:t xml:space="preserve"> facilities</w:t>
      </w:r>
      <w:r w:rsidR="007111B0">
        <w:rPr>
          <w:sz w:val="24"/>
          <w:u w:val="none"/>
        </w:rPr>
        <w:t>.</w:t>
      </w:r>
    </w:p>
    <w:p w:rsidR="007111B0" w:rsidRDefault="00FA358D" w:rsidP="007302AD">
      <w:pPr>
        <w:numPr>
          <w:ilvl w:val="0"/>
          <w:numId w:val="1"/>
        </w:numPr>
        <w:tabs>
          <w:tab w:val="left" w:pos="360"/>
        </w:tabs>
        <w:spacing w:after="60"/>
        <w:ind w:left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Penrose – St. Francis manages </w:t>
      </w:r>
      <w:r w:rsidR="00F37BC3">
        <w:rPr>
          <w:sz w:val="24"/>
          <w:u w:val="none"/>
        </w:rPr>
        <w:t xml:space="preserve">and identifies </w:t>
      </w:r>
      <w:r>
        <w:rPr>
          <w:sz w:val="24"/>
          <w:u w:val="none"/>
        </w:rPr>
        <w:t xml:space="preserve">security risks </w:t>
      </w:r>
      <w:r w:rsidR="00B76090">
        <w:rPr>
          <w:sz w:val="24"/>
          <w:u w:val="none"/>
        </w:rPr>
        <w:t xml:space="preserve">associated with the </w:t>
      </w:r>
      <w:r w:rsidR="00D4141D">
        <w:rPr>
          <w:sz w:val="24"/>
          <w:u w:val="none"/>
        </w:rPr>
        <w:t>E</w:t>
      </w:r>
      <w:r w:rsidR="00B76090">
        <w:rPr>
          <w:sz w:val="24"/>
          <w:u w:val="none"/>
        </w:rPr>
        <w:t xml:space="preserve">nvironment of </w:t>
      </w:r>
      <w:r w:rsidR="00D4141D">
        <w:rPr>
          <w:sz w:val="24"/>
          <w:u w:val="none"/>
        </w:rPr>
        <w:t>C</w:t>
      </w:r>
      <w:r w:rsidR="00B76090">
        <w:rPr>
          <w:sz w:val="24"/>
          <w:u w:val="none"/>
        </w:rPr>
        <w:t xml:space="preserve">are </w:t>
      </w:r>
      <w:r>
        <w:rPr>
          <w:sz w:val="24"/>
          <w:u w:val="none"/>
        </w:rPr>
        <w:t>by utilizing the following internal and external sources</w:t>
      </w:r>
      <w:r w:rsidR="007111B0">
        <w:rPr>
          <w:sz w:val="24"/>
          <w:u w:val="none"/>
        </w:rPr>
        <w:t>:</w:t>
      </w:r>
      <w:r w:rsidR="00B67D60">
        <w:rPr>
          <w:sz w:val="24"/>
          <w:u w:val="none"/>
        </w:rPr>
        <w:t xml:space="preserve"> </w:t>
      </w:r>
    </w:p>
    <w:p w:rsidR="00004911" w:rsidRPr="00004911" w:rsidRDefault="00FA358D" w:rsidP="007302AD">
      <w:pPr>
        <w:numPr>
          <w:ilvl w:val="0"/>
          <w:numId w:val="2"/>
        </w:numPr>
        <w:tabs>
          <w:tab w:val="clear" w:pos="1440"/>
          <w:tab w:val="num" w:pos="900"/>
        </w:tabs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>S</w:t>
      </w:r>
      <w:r w:rsidR="00004911" w:rsidRPr="00004911">
        <w:rPr>
          <w:sz w:val="24"/>
          <w:u w:val="none"/>
        </w:rPr>
        <w:t>ecurity incidents involving patients, visitors, personnel, or property.</w:t>
      </w:r>
    </w:p>
    <w:p w:rsidR="00004911" w:rsidRPr="00004911" w:rsidRDefault="00004911" w:rsidP="007302AD">
      <w:pPr>
        <w:numPr>
          <w:ilvl w:val="0"/>
          <w:numId w:val="2"/>
        </w:numPr>
        <w:tabs>
          <w:tab w:val="clear" w:pos="1440"/>
          <w:tab w:val="num" w:pos="900"/>
        </w:tabs>
        <w:spacing w:after="60"/>
        <w:ind w:left="907"/>
        <w:jc w:val="both"/>
        <w:rPr>
          <w:sz w:val="24"/>
          <w:u w:val="none"/>
        </w:rPr>
      </w:pPr>
      <w:r w:rsidRPr="00004911">
        <w:rPr>
          <w:sz w:val="24"/>
          <w:u w:val="none"/>
        </w:rPr>
        <w:t>Using the security trend analysis reporting tool in addition to other law enforcement data (i.e. CAP Index reports, etc.) regarding:</w:t>
      </w:r>
      <w:r w:rsidR="00846A4E">
        <w:rPr>
          <w:sz w:val="24"/>
          <w:u w:val="none"/>
        </w:rPr>
        <w:t xml:space="preserve"> </w:t>
      </w:r>
    </w:p>
    <w:p w:rsidR="00004911" w:rsidRPr="00004911" w:rsidRDefault="00004911" w:rsidP="007302AD">
      <w:pPr>
        <w:numPr>
          <w:ilvl w:val="0"/>
          <w:numId w:val="3"/>
        </w:numPr>
        <w:jc w:val="both"/>
        <w:rPr>
          <w:sz w:val="24"/>
          <w:u w:val="none"/>
        </w:rPr>
      </w:pPr>
      <w:r w:rsidRPr="00004911">
        <w:rPr>
          <w:sz w:val="24"/>
          <w:u w:val="none"/>
        </w:rPr>
        <w:t>Security Incidents</w:t>
      </w:r>
    </w:p>
    <w:p w:rsidR="00004911" w:rsidRPr="00004911" w:rsidRDefault="00004911" w:rsidP="007302AD">
      <w:pPr>
        <w:numPr>
          <w:ilvl w:val="0"/>
          <w:numId w:val="3"/>
        </w:numPr>
        <w:jc w:val="both"/>
        <w:rPr>
          <w:sz w:val="24"/>
          <w:u w:val="none"/>
        </w:rPr>
      </w:pPr>
      <w:r w:rsidRPr="00004911">
        <w:rPr>
          <w:sz w:val="24"/>
          <w:u w:val="none"/>
        </w:rPr>
        <w:t>Security Conditions</w:t>
      </w:r>
    </w:p>
    <w:p w:rsidR="00004911" w:rsidRPr="00004911" w:rsidRDefault="00004911" w:rsidP="007302AD">
      <w:pPr>
        <w:numPr>
          <w:ilvl w:val="0"/>
          <w:numId w:val="3"/>
        </w:numPr>
        <w:jc w:val="both"/>
        <w:rPr>
          <w:sz w:val="24"/>
          <w:u w:val="none"/>
        </w:rPr>
      </w:pPr>
      <w:r w:rsidRPr="00004911">
        <w:rPr>
          <w:sz w:val="24"/>
          <w:u w:val="none"/>
        </w:rPr>
        <w:t xml:space="preserve">Police and </w:t>
      </w:r>
      <w:r w:rsidR="00D4141D">
        <w:rPr>
          <w:sz w:val="24"/>
          <w:u w:val="none"/>
        </w:rPr>
        <w:t>C</w:t>
      </w:r>
      <w:r w:rsidRPr="00004911">
        <w:rPr>
          <w:sz w:val="24"/>
          <w:u w:val="none"/>
        </w:rPr>
        <w:t>ommunity information and statistics</w:t>
      </w:r>
    </w:p>
    <w:p w:rsidR="00004911" w:rsidRPr="00004911" w:rsidRDefault="00004911" w:rsidP="007302AD">
      <w:pPr>
        <w:numPr>
          <w:ilvl w:val="0"/>
          <w:numId w:val="3"/>
        </w:numPr>
        <w:jc w:val="both"/>
        <w:rPr>
          <w:sz w:val="24"/>
          <w:u w:val="none"/>
        </w:rPr>
      </w:pPr>
      <w:r w:rsidRPr="00004911">
        <w:rPr>
          <w:sz w:val="24"/>
          <w:u w:val="none"/>
        </w:rPr>
        <w:t>Investigations</w:t>
      </w:r>
    </w:p>
    <w:p w:rsidR="00004911" w:rsidRPr="00004911" w:rsidRDefault="00004911" w:rsidP="007302AD">
      <w:pPr>
        <w:numPr>
          <w:ilvl w:val="0"/>
          <w:numId w:val="3"/>
        </w:numPr>
        <w:jc w:val="both"/>
        <w:rPr>
          <w:sz w:val="24"/>
          <w:u w:val="none"/>
        </w:rPr>
      </w:pPr>
      <w:r w:rsidRPr="00004911">
        <w:rPr>
          <w:sz w:val="24"/>
          <w:u w:val="none"/>
        </w:rPr>
        <w:t>Security staff training</w:t>
      </w:r>
    </w:p>
    <w:p w:rsidR="00004911" w:rsidRDefault="00004911" w:rsidP="007302AD">
      <w:pPr>
        <w:numPr>
          <w:ilvl w:val="0"/>
          <w:numId w:val="3"/>
        </w:numPr>
        <w:jc w:val="both"/>
        <w:rPr>
          <w:sz w:val="24"/>
          <w:u w:val="none"/>
        </w:rPr>
      </w:pPr>
      <w:r w:rsidRPr="00004911">
        <w:rPr>
          <w:sz w:val="24"/>
          <w:u w:val="none"/>
        </w:rPr>
        <w:t>Security staff performance</w:t>
      </w:r>
    </w:p>
    <w:p w:rsidR="004B24F9" w:rsidRDefault="00004911" w:rsidP="007302AD">
      <w:pPr>
        <w:numPr>
          <w:ilvl w:val="0"/>
          <w:numId w:val="3"/>
        </w:numPr>
        <w:spacing w:after="60"/>
        <w:jc w:val="both"/>
        <w:rPr>
          <w:sz w:val="24"/>
          <w:u w:val="none"/>
        </w:rPr>
      </w:pPr>
      <w:r w:rsidRPr="00004911">
        <w:rPr>
          <w:sz w:val="24"/>
          <w:u w:val="none"/>
        </w:rPr>
        <w:t>Basic activities and services</w:t>
      </w:r>
    </w:p>
    <w:p w:rsidR="00FA358D" w:rsidRDefault="00FA358D" w:rsidP="007302AD">
      <w:pPr>
        <w:numPr>
          <w:ilvl w:val="0"/>
          <w:numId w:val="7"/>
        </w:numPr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lastRenderedPageBreak/>
        <w:t xml:space="preserve">   Periodic assessment to identify security risks in the physical environment will include the following:</w:t>
      </w:r>
    </w:p>
    <w:p w:rsidR="00FA358D" w:rsidRPr="0093778C" w:rsidRDefault="00FA358D" w:rsidP="007302AD">
      <w:pPr>
        <w:numPr>
          <w:ilvl w:val="0"/>
          <w:numId w:val="5"/>
        </w:numPr>
        <w:tabs>
          <w:tab w:val="num" w:pos="1800"/>
        </w:tabs>
        <w:jc w:val="both"/>
        <w:rPr>
          <w:sz w:val="24"/>
          <w:u w:val="none"/>
        </w:rPr>
      </w:pPr>
      <w:r w:rsidRPr="0093778C">
        <w:rPr>
          <w:sz w:val="24"/>
          <w:u w:val="none"/>
        </w:rPr>
        <w:t>Physical plant size including current and planned changes, type of clientele, volume of business, community setting</w:t>
      </w:r>
    </w:p>
    <w:p w:rsidR="00FA358D" w:rsidRPr="0093778C" w:rsidRDefault="00FA358D" w:rsidP="007302AD">
      <w:pPr>
        <w:numPr>
          <w:ilvl w:val="0"/>
          <w:numId w:val="5"/>
        </w:numPr>
        <w:tabs>
          <w:tab w:val="num" w:pos="1800"/>
        </w:tabs>
        <w:jc w:val="both"/>
        <w:rPr>
          <w:sz w:val="24"/>
          <w:u w:val="none"/>
        </w:rPr>
      </w:pPr>
      <w:r w:rsidRPr="0093778C">
        <w:rPr>
          <w:sz w:val="24"/>
          <w:u w:val="none"/>
        </w:rPr>
        <w:t>Community crime patterns, neighborhood patterns of change</w:t>
      </w:r>
    </w:p>
    <w:p w:rsidR="00FA358D" w:rsidRPr="0093778C" w:rsidRDefault="00FA358D" w:rsidP="007302AD">
      <w:pPr>
        <w:numPr>
          <w:ilvl w:val="0"/>
          <w:numId w:val="5"/>
        </w:numPr>
        <w:tabs>
          <w:tab w:val="num" w:pos="1800"/>
        </w:tabs>
        <w:jc w:val="both"/>
        <w:rPr>
          <w:sz w:val="24"/>
          <w:u w:val="none"/>
        </w:rPr>
      </w:pPr>
      <w:r w:rsidRPr="0093778C">
        <w:rPr>
          <w:sz w:val="24"/>
          <w:u w:val="none"/>
        </w:rPr>
        <w:t>Exterior lighting, landscaping, communications systems, and parking issues</w:t>
      </w:r>
    </w:p>
    <w:p w:rsidR="00FA358D" w:rsidRDefault="00FA358D" w:rsidP="007302AD">
      <w:pPr>
        <w:numPr>
          <w:ilvl w:val="1"/>
          <w:numId w:val="8"/>
        </w:numPr>
        <w:spacing w:after="60"/>
        <w:jc w:val="both"/>
        <w:rPr>
          <w:sz w:val="24"/>
          <w:u w:val="none"/>
        </w:rPr>
      </w:pPr>
      <w:r w:rsidRPr="0093778C">
        <w:rPr>
          <w:sz w:val="24"/>
          <w:u w:val="none"/>
        </w:rPr>
        <w:t xml:space="preserve">Physical and electronic security </w:t>
      </w:r>
      <w:r>
        <w:rPr>
          <w:sz w:val="24"/>
          <w:u w:val="none"/>
        </w:rPr>
        <w:t>systems</w:t>
      </w:r>
    </w:p>
    <w:p w:rsidR="00F37BC3" w:rsidRDefault="00F37BC3" w:rsidP="007302AD">
      <w:pPr>
        <w:numPr>
          <w:ilvl w:val="0"/>
          <w:numId w:val="1"/>
        </w:numPr>
        <w:tabs>
          <w:tab w:val="num" w:pos="360"/>
          <w:tab w:val="num" w:pos="900"/>
        </w:tabs>
        <w:spacing w:after="60"/>
        <w:ind w:left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In the event a security risk is identified, PSFHS leadership takes </w:t>
      </w:r>
      <w:r w:rsidR="000179F9">
        <w:rPr>
          <w:sz w:val="24"/>
          <w:u w:val="none"/>
        </w:rPr>
        <w:t xml:space="preserve">appropriate </w:t>
      </w:r>
      <w:r>
        <w:rPr>
          <w:sz w:val="24"/>
          <w:u w:val="none"/>
        </w:rPr>
        <w:t>action in minimizing or eliminating identified security risks</w:t>
      </w:r>
      <w:r w:rsidR="00846A4E">
        <w:rPr>
          <w:sz w:val="24"/>
          <w:u w:val="none"/>
        </w:rPr>
        <w:t>.</w:t>
      </w:r>
      <w:r>
        <w:rPr>
          <w:sz w:val="24"/>
          <w:u w:val="none"/>
        </w:rPr>
        <w:t xml:space="preserve">  </w:t>
      </w:r>
    </w:p>
    <w:p w:rsidR="00FA358D" w:rsidRPr="00A24821" w:rsidRDefault="00F37BC3" w:rsidP="007302AD">
      <w:pPr>
        <w:numPr>
          <w:ilvl w:val="0"/>
          <w:numId w:val="1"/>
        </w:numPr>
        <w:tabs>
          <w:tab w:val="num" w:pos="360"/>
          <w:tab w:val="num" w:pos="900"/>
        </w:tabs>
        <w:spacing w:after="60"/>
        <w:ind w:left="360"/>
        <w:jc w:val="both"/>
        <w:rPr>
          <w:sz w:val="24"/>
          <w:u w:val="none"/>
        </w:rPr>
      </w:pPr>
      <w:r>
        <w:rPr>
          <w:sz w:val="24"/>
          <w:u w:val="none"/>
        </w:rPr>
        <w:t>P</w:t>
      </w:r>
      <w:r w:rsidR="00FA358D" w:rsidRPr="00A24821">
        <w:rPr>
          <w:sz w:val="24"/>
          <w:u w:val="none"/>
        </w:rPr>
        <w:t xml:space="preserve">atients, </w:t>
      </w:r>
      <w:r w:rsidR="00AB206B">
        <w:rPr>
          <w:sz w:val="24"/>
          <w:u w:val="none"/>
        </w:rPr>
        <w:t xml:space="preserve">staff and others are appropriately identified when entering the facility.  </w:t>
      </w:r>
    </w:p>
    <w:p w:rsidR="005D1A23" w:rsidRPr="005D1A23" w:rsidRDefault="005D1A23" w:rsidP="007302A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Penrose – St. Francis leadership and </w:t>
      </w:r>
      <w:r w:rsidR="00576DD0">
        <w:rPr>
          <w:sz w:val="24"/>
          <w:u w:val="none"/>
        </w:rPr>
        <w:t xml:space="preserve">G4S </w:t>
      </w:r>
      <w:r w:rsidR="00D60EC1">
        <w:rPr>
          <w:sz w:val="24"/>
          <w:u w:val="none"/>
        </w:rPr>
        <w:t>Secure Solutions will</w:t>
      </w:r>
      <w:r>
        <w:rPr>
          <w:sz w:val="24"/>
          <w:u w:val="none"/>
        </w:rPr>
        <w:t xml:space="preserve"> work together </w:t>
      </w:r>
      <w:r w:rsidR="000179F9">
        <w:rPr>
          <w:sz w:val="24"/>
          <w:u w:val="none"/>
        </w:rPr>
        <w:t>in</w:t>
      </w:r>
      <w:r w:rsidRPr="004B24F9">
        <w:rPr>
          <w:sz w:val="24"/>
          <w:u w:val="none"/>
        </w:rPr>
        <w:t xml:space="preserve"> declaring an area security-sensitive based on the potential for violence or use of weapons; especially vulnerable populations such as the elderly, infants, and children; the availability of drugs, money, and unsecured personal property; identification and access for visitors/associates in all areas of Penrose - St. Francis Health Services</w:t>
      </w:r>
      <w:r w:rsidRPr="004B24F9">
        <w:rPr>
          <w:rFonts w:ascii="Arial" w:hAnsi="Arial" w:cs="Arial"/>
          <w:sz w:val="22"/>
          <w:szCs w:val="22"/>
          <w:u w:val="none"/>
        </w:rPr>
        <w:t>.</w:t>
      </w:r>
    </w:p>
    <w:p w:rsidR="005D1A23" w:rsidRPr="005D1A23" w:rsidRDefault="005D1A23" w:rsidP="00AC5F1E">
      <w:pPr>
        <w:numPr>
          <w:ilvl w:val="0"/>
          <w:numId w:val="1"/>
        </w:numPr>
        <w:spacing w:before="120" w:afterLines="60"/>
        <w:ind w:left="360"/>
        <w:jc w:val="both"/>
        <w:rPr>
          <w:sz w:val="24"/>
        </w:rPr>
      </w:pPr>
      <w:r w:rsidRPr="005D1A23">
        <w:rPr>
          <w:sz w:val="24"/>
          <w:u w:val="none"/>
        </w:rPr>
        <w:t>Access to security sensitive areas is determined by the department managers and/or directors.  The following areas have been d</w:t>
      </w:r>
      <w:r w:rsidR="007842F1">
        <w:rPr>
          <w:sz w:val="24"/>
          <w:u w:val="none"/>
        </w:rPr>
        <w:t>eclared as security sensitive.</w:t>
      </w:r>
      <w:r w:rsidR="00B67D60">
        <w:rPr>
          <w:sz w:val="24"/>
          <w:u w:val="none"/>
        </w:rPr>
        <w:t xml:space="preserve">  </w:t>
      </w:r>
    </w:p>
    <w:p w:rsidR="005D1A23" w:rsidRPr="005D1A23" w:rsidRDefault="005D1A23" w:rsidP="005D1A23">
      <w:pPr>
        <w:spacing w:before="120"/>
        <w:ind w:left="360" w:firstLine="1080"/>
        <w:jc w:val="both"/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5D1A23">
            <w:rPr>
              <w:sz w:val="24"/>
            </w:rPr>
            <w:t>Penrose</w:t>
          </w:r>
        </w:smartTag>
        <w:r w:rsidRPr="005D1A23">
          <w:rPr>
            <w:sz w:val="24"/>
          </w:rPr>
          <w:t xml:space="preserve"> </w:t>
        </w:r>
        <w:smartTag w:uri="urn:schemas-microsoft-com:office:smarttags" w:element="PlaceName">
          <w:r w:rsidRPr="005D1A23">
            <w:rPr>
              <w:sz w:val="24"/>
            </w:rPr>
            <w:t>Main</w:t>
          </w:r>
        </w:smartTag>
        <w:r w:rsidRPr="005D1A23">
          <w:rPr>
            <w:sz w:val="24"/>
          </w:rPr>
          <w:t xml:space="preserve"> </w:t>
        </w:r>
        <w:smartTag w:uri="urn:schemas-microsoft-com:office:smarttags" w:element="PlaceType">
          <w:r w:rsidRPr="005D1A23">
            <w:rPr>
              <w:sz w:val="24"/>
            </w:rPr>
            <w:t>Hospital</w:t>
          </w:r>
        </w:smartTag>
      </w:smartTag>
    </w:p>
    <w:p w:rsidR="005D1A23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before="60"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Emergency Department</w:t>
      </w:r>
    </w:p>
    <w:p w:rsidR="005D1A23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Pharmacy Storage – 1</w:t>
      </w:r>
      <w:r w:rsidRPr="00F178C7">
        <w:rPr>
          <w:sz w:val="24"/>
          <w:u w:val="none"/>
          <w:vertAlign w:val="superscript"/>
        </w:rPr>
        <w:t>st</w:t>
      </w:r>
      <w:r>
        <w:rPr>
          <w:sz w:val="24"/>
          <w:u w:val="none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u w:val="none"/>
            </w:rPr>
            <w:t>Floor</w:t>
          </w:r>
        </w:smartTag>
        <w:r>
          <w:rPr>
            <w:sz w:val="24"/>
            <w:u w:val="none"/>
          </w:rPr>
          <w:t xml:space="preserve"> </w:t>
        </w:r>
        <w:smartTag w:uri="urn:schemas-microsoft-com:office:smarttags" w:element="PlaceName">
          <w:r>
            <w:rPr>
              <w:sz w:val="24"/>
              <w:u w:val="none"/>
            </w:rPr>
            <w:t>Cancer</w:t>
          </w:r>
        </w:smartTag>
        <w:r>
          <w:rPr>
            <w:sz w:val="24"/>
            <w:u w:val="none"/>
          </w:rPr>
          <w:t xml:space="preserve"> </w:t>
        </w:r>
        <w:smartTag w:uri="urn:schemas-microsoft-com:office:smarttags" w:element="PlaceType">
          <w:r>
            <w:rPr>
              <w:sz w:val="24"/>
              <w:u w:val="none"/>
            </w:rPr>
            <w:t>Center</w:t>
          </w:r>
        </w:smartTag>
      </w:smartTag>
    </w:p>
    <w:p w:rsidR="005D1A23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Main Pharmacy</w:t>
      </w:r>
    </w:p>
    <w:p w:rsidR="005D1A23" w:rsidRPr="00004911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ICU/CCU</w:t>
      </w:r>
    </w:p>
    <w:p w:rsidR="005D1A23" w:rsidRDefault="005D1A23" w:rsidP="005D1A23">
      <w:pPr>
        <w:spacing w:before="120"/>
        <w:ind w:left="720" w:firstLine="720"/>
        <w:jc w:val="both"/>
        <w:rPr>
          <w:sz w:val="24"/>
        </w:rPr>
      </w:pPr>
      <w:r>
        <w:rPr>
          <w:sz w:val="24"/>
        </w:rPr>
        <w:t>St. Francis Medical Center</w:t>
      </w:r>
    </w:p>
    <w:p w:rsidR="005D1A23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before="60"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Emergency Department</w:t>
      </w:r>
    </w:p>
    <w:p w:rsidR="005D1A23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Main Pharmacy</w:t>
      </w:r>
    </w:p>
    <w:p w:rsidR="005D1A23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Birthing/Infant Care</w:t>
      </w:r>
    </w:p>
    <w:p w:rsidR="00086523" w:rsidRDefault="000865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Pediatrics</w:t>
      </w:r>
    </w:p>
    <w:p w:rsidR="005D1A23" w:rsidRDefault="005D1A23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NICU</w:t>
      </w:r>
    </w:p>
    <w:p w:rsidR="008A7EA8" w:rsidRPr="00004911" w:rsidRDefault="008A7EA8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>ICU/CCU</w:t>
      </w:r>
    </w:p>
    <w:p w:rsidR="005D1A23" w:rsidRDefault="00D60EC1" w:rsidP="005D1A23">
      <w:pPr>
        <w:spacing w:before="120"/>
        <w:ind w:left="720" w:firstLine="720"/>
        <w:jc w:val="both"/>
        <w:rPr>
          <w:sz w:val="24"/>
        </w:rPr>
      </w:pPr>
      <w:r>
        <w:rPr>
          <w:sz w:val="24"/>
        </w:rPr>
        <w:t xml:space="preserve">Administrative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Support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r>
        <w:rPr>
          <w:sz w:val="24"/>
        </w:rPr>
        <w:t xml:space="preserve"> (ASC)</w:t>
      </w:r>
    </w:p>
    <w:p w:rsidR="005D1A23" w:rsidRDefault="00BE6C64" w:rsidP="007302AD">
      <w:pPr>
        <w:numPr>
          <w:ilvl w:val="0"/>
          <w:numId w:val="4"/>
        </w:numPr>
        <w:tabs>
          <w:tab w:val="clear" w:pos="2880"/>
          <w:tab w:val="num" w:pos="1800"/>
          <w:tab w:val="num" w:pos="2520"/>
        </w:tabs>
        <w:spacing w:after="20"/>
        <w:ind w:hanging="1440"/>
        <w:jc w:val="both"/>
        <w:rPr>
          <w:sz w:val="24"/>
          <w:u w:val="none"/>
        </w:rPr>
      </w:pPr>
      <w:r>
        <w:rPr>
          <w:sz w:val="24"/>
          <w:u w:val="none"/>
        </w:rPr>
        <w:t xml:space="preserve">Closed Door </w:t>
      </w:r>
      <w:r w:rsidR="005D1A23">
        <w:rPr>
          <w:sz w:val="24"/>
          <w:u w:val="none"/>
        </w:rPr>
        <w:t>Pharmacy</w:t>
      </w:r>
    </w:p>
    <w:p w:rsidR="005D1A23" w:rsidRDefault="005D1A23" w:rsidP="00D60EC1">
      <w:pPr>
        <w:tabs>
          <w:tab w:val="num" w:pos="2880"/>
        </w:tabs>
        <w:spacing w:after="60"/>
        <w:jc w:val="both"/>
        <w:rPr>
          <w:sz w:val="24"/>
          <w:u w:val="none"/>
        </w:rPr>
      </w:pPr>
    </w:p>
    <w:p w:rsidR="005D1A23" w:rsidRPr="00A24821" w:rsidRDefault="005D1A23" w:rsidP="007302A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  <w:rPr>
          <w:sz w:val="24"/>
          <w:u w:val="none"/>
        </w:rPr>
      </w:pPr>
      <w:r w:rsidRPr="00A24821">
        <w:rPr>
          <w:sz w:val="24"/>
          <w:u w:val="none"/>
        </w:rPr>
        <w:t xml:space="preserve">To minimize the risk of an infant or pediatric abduction, </w:t>
      </w:r>
      <w:r w:rsidR="00D4141D">
        <w:rPr>
          <w:sz w:val="24"/>
          <w:u w:val="none"/>
        </w:rPr>
        <w:t xml:space="preserve">The </w:t>
      </w:r>
      <w:r w:rsidR="00D800C3">
        <w:rPr>
          <w:sz w:val="24"/>
          <w:u w:val="none"/>
        </w:rPr>
        <w:t>Security Program</w:t>
      </w:r>
      <w:r w:rsidR="000179F9">
        <w:rPr>
          <w:sz w:val="24"/>
          <w:u w:val="none"/>
        </w:rPr>
        <w:t xml:space="preserve"> Manager works in collaboration</w:t>
      </w:r>
      <w:r w:rsidR="00D800C3">
        <w:rPr>
          <w:sz w:val="24"/>
          <w:u w:val="none"/>
        </w:rPr>
        <w:t xml:space="preserve"> </w:t>
      </w:r>
      <w:r w:rsidR="00F37BC3">
        <w:rPr>
          <w:sz w:val="24"/>
          <w:u w:val="none"/>
        </w:rPr>
        <w:t>with</w:t>
      </w:r>
      <w:r w:rsidRPr="00A24821">
        <w:rPr>
          <w:sz w:val="24"/>
          <w:u w:val="none"/>
        </w:rPr>
        <w:t xml:space="preserve"> department managers in identifying and implementing pediatric abduction prevention measures.</w:t>
      </w:r>
      <w:r w:rsidR="007842F1">
        <w:rPr>
          <w:sz w:val="24"/>
          <w:u w:val="none"/>
        </w:rPr>
        <w:t xml:space="preserve">  </w:t>
      </w:r>
    </w:p>
    <w:p w:rsidR="005D1A23" w:rsidRDefault="005D1A23" w:rsidP="007302A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  <w:rPr>
          <w:sz w:val="24"/>
          <w:u w:val="none"/>
        </w:rPr>
      </w:pPr>
      <w:r w:rsidRPr="00A24821">
        <w:rPr>
          <w:sz w:val="24"/>
          <w:u w:val="none"/>
        </w:rPr>
        <w:t xml:space="preserve">When a security incident does occur, </w:t>
      </w:r>
      <w:r w:rsidR="00D4141D">
        <w:rPr>
          <w:sz w:val="24"/>
          <w:u w:val="none"/>
        </w:rPr>
        <w:t>security</w:t>
      </w:r>
      <w:r w:rsidRPr="00A24821">
        <w:rPr>
          <w:sz w:val="24"/>
          <w:u w:val="none"/>
        </w:rPr>
        <w:t xml:space="preserve"> officers will follow PSFHS policies and/or security procedures as outlined in the Penrose – St. Francis Health Services Facility Security Orders.</w:t>
      </w:r>
      <w:r w:rsidR="007842F1">
        <w:rPr>
          <w:sz w:val="24"/>
          <w:u w:val="none"/>
        </w:rPr>
        <w:t xml:space="preserve">  </w:t>
      </w:r>
      <w:r w:rsidRPr="00A24821">
        <w:rPr>
          <w:sz w:val="24"/>
          <w:u w:val="none"/>
        </w:rPr>
        <w:t xml:space="preserve"> </w:t>
      </w:r>
    </w:p>
    <w:p w:rsidR="00A24821" w:rsidRDefault="005D1A23" w:rsidP="007302AD">
      <w:pPr>
        <w:numPr>
          <w:ilvl w:val="0"/>
          <w:numId w:val="9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 w:rsidRPr="0093778C">
        <w:rPr>
          <w:sz w:val="24"/>
          <w:u w:val="none"/>
        </w:rPr>
        <w:t xml:space="preserve">The Penrose - St. Francis Health Services Facility Security Orders provide policy, procedure, direction, and </w:t>
      </w:r>
      <w:r w:rsidR="00D4141D">
        <w:rPr>
          <w:sz w:val="24"/>
          <w:u w:val="none"/>
        </w:rPr>
        <w:t xml:space="preserve">overall </w:t>
      </w:r>
      <w:r w:rsidRPr="0093778C">
        <w:rPr>
          <w:sz w:val="24"/>
          <w:u w:val="none"/>
        </w:rPr>
        <w:t xml:space="preserve">control for the Security Program. </w:t>
      </w:r>
    </w:p>
    <w:p w:rsidR="005D1A23" w:rsidRDefault="005D1A23" w:rsidP="007302AD">
      <w:pPr>
        <w:numPr>
          <w:ilvl w:val="0"/>
          <w:numId w:val="9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 w:rsidRPr="0093778C">
        <w:rPr>
          <w:sz w:val="24"/>
          <w:u w:val="none"/>
        </w:rPr>
        <w:t>Facility Security Order</w:t>
      </w:r>
      <w:r w:rsidR="00A24821">
        <w:rPr>
          <w:sz w:val="24"/>
          <w:u w:val="none"/>
        </w:rPr>
        <w:t>s are</w:t>
      </w:r>
      <w:r w:rsidRPr="0093778C">
        <w:rPr>
          <w:sz w:val="24"/>
          <w:u w:val="none"/>
        </w:rPr>
        <w:t xml:space="preserve"> periodically reviewed</w:t>
      </w:r>
      <w:r w:rsidR="00A24821">
        <w:rPr>
          <w:sz w:val="24"/>
          <w:u w:val="none"/>
        </w:rPr>
        <w:t xml:space="preserve">, and revised as necessary.  The </w:t>
      </w:r>
      <w:r w:rsidRPr="0093778C">
        <w:rPr>
          <w:sz w:val="24"/>
          <w:u w:val="none"/>
        </w:rPr>
        <w:t>Director of Support Services approves the Facility Security Orders in writing.</w:t>
      </w:r>
    </w:p>
    <w:p w:rsidR="00A24821" w:rsidRPr="00AE737E" w:rsidRDefault="00A24821" w:rsidP="007302A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  <w:rPr>
          <w:sz w:val="24"/>
          <w:u w:val="none"/>
        </w:rPr>
      </w:pPr>
      <w:r w:rsidRPr="00AE737E">
        <w:rPr>
          <w:sz w:val="24"/>
          <w:u w:val="none"/>
        </w:rPr>
        <w:lastRenderedPageBreak/>
        <w:t xml:space="preserve">Security incidents and conditions are individually reported to and summarized statistically by </w:t>
      </w:r>
      <w:r w:rsidR="00D4141D">
        <w:rPr>
          <w:sz w:val="24"/>
          <w:u w:val="none"/>
        </w:rPr>
        <w:t>the Security Program Manager</w:t>
      </w:r>
      <w:r w:rsidRPr="00AE737E">
        <w:rPr>
          <w:sz w:val="24"/>
          <w:u w:val="none"/>
        </w:rPr>
        <w:t xml:space="preserve"> for the Director of Support Services. At a minimum, the following occurrences will </w:t>
      </w:r>
      <w:r>
        <w:rPr>
          <w:sz w:val="24"/>
          <w:u w:val="none"/>
        </w:rPr>
        <w:t>be reported on a Security Incident Report and investigated</w:t>
      </w:r>
      <w:r w:rsidRPr="00AE737E">
        <w:rPr>
          <w:sz w:val="24"/>
          <w:u w:val="none"/>
        </w:rPr>
        <w:t>.</w:t>
      </w:r>
    </w:p>
    <w:p w:rsidR="00A24821" w:rsidRDefault="00A24821" w:rsidP="007302AD">
      <w:pPr>
        <w:numPr>
          <w:ilvl w:val="1"/>
          <w:numId w:val="6"/>
        </w:numPr>
        <w:tabs>
          <w:tab w:val="clear" w:pos="1800"/>
          <w:tab w:val="num" w:pos="900"/>
        </w:tabs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>Non-medical related injuries to patients or others in the hospita</w:t>
      </w:r>
      <w:r w:rsidR="00846A4E">
        <w:rPr>
          <w:sz w:val="24"/>
          <w:u w:val="none"/>
        </w:rPr>
        <w:t>ls facilities</w:t>
      </w:r>
      <w:r w:rsidR="007842F1">
        <w:rPr>
          <w:sz w:val="24"/>
          <w:u w:val="none"/>
        </w:rPr>
        <w:t xml:space="preserve"> </w:t>
      </w:r>
    </w:p>
    <w:p w:rsidR="00A24821" w:rsidRDefault="00A24821" w:rsidP="007302AD">
      <w:pPr>
        <w:numPr>
          <w:ilvl w:val="1"/>
          <w:numId w:val="6"/>
        </w:numPr>
        <w:tabs>
          <w:tab w:val="clear" w:pos="1800"/>
          <w:tab w:val="num" w:pos="900"/>
        </w:tabs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>Personal or PSFHS property damage</w:t>
      </w:r>
    </w:p>
    <w:p w:rsidR="00A24821" w:rsidRDefault="009576F7" w:rsidP="007302AD">
      <w:pPr>
        <w:numPr>
          <w:ilvl w:val="1"/>
          <w:numId w:val="6"/>
        </w:numPr>
        <w:tabs>
          <w:tab w:val="clear" w:pos="1800"/>
          <w:tab w:val="num" w:pos="900"/>
        </w:tabs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 xml:space="preserve">Security </w:t>
      </w:r>
      <w:r w:rsidR="006A295C">
        <w:rPr>
          <w:sz w:val="24"/>
          <w:u w:val="none"/>
        </w:rPr>
        <w:t>incidents</w:t>
      </w:r>
      <w:r w:rsidR="00A24821">
        <w:rPr>
          <w:sz w:val="24"/>
          <w:u w:val="none"/>
        </w:rPr>
        <w:t xml:space="preserve"> involving patients, staff or others within its</w:t>
      </w:r>
      <w:r w:rsidR="007842F1">
        <w:rPr>
          <w:sz w:val="24"/>
          <w:u w:val="none"/>
        </w:rPr>
        <w:t xml:space="preserve"> facilities</w:t>
      </w:r>
    </w:p>
    <w:p w:rsidR="00A24821" w:rsidRDefault="00A24821" w:rsidP="007302A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Using the results of </w:t>
      </w:r>
      <w:r w:rsidR="00D4141D">
        <w:rPr>
          <w:sz w:val="24"/>
          <w:u w:val="none"/>
        </w:rPr>
        <w:t xml:space="preserve">the </w:t>
      </w:r>
      <w:r>
        <w:rPr>
          <w:sz w:val="24"/>
          <w:u w:val="none"/>
        </w:rPr>
        <w:t xml:space="preserve">data analysis, </w:t>
      </w:r>
      <w:r w:rsidR="00576DD0">
        <w:rPr>
          <w:sz w:val="24"/>
          <w:u w:val="none"/>
        </w:rPr>
        <w:t xml:space="preserve">G4S </w:t>
      </w:r>
      <w:r w:rsidR="00D60EC1">
        <w:rPr>
          <w:sz w:val="24"/>
          <w:u w:val="none"/>
        </w:rPr>
        <w:t>Secure Solutions</w:t>
      </w:r>
      <w:r>
        <w:rPr>
          <w:sz w:val="24"/>
          <w:u w:val="none"/>
        </w:rPr>
        <w:t xml:space="preserve"> </w:t>
      </w:r>
      <w:r w:rsidR="00D4141D">
        <w:rPr>
          <w:sz w:val="24"/>
          <w:u w:val="none"/>
        </w:rPr>
        <w:t>p</w:t>
      </w:r>
      <w:r>
        <w:rPr>
          <w:sz w:val="24"/>
          <w:u w:val="none"/>
        </w:rPr>
        <w:t xml:space="preserve">roduces a written </w:t>
      </w:r>
      <w:r w:rsidR="00D4141D">
        <w:rPr>
          <w:sz w:val="24"/>
          <w:u w:val="none"/>
        </w:rPr>
        <w:t xml:space="preserve">Annual </w:t>
      </w:r>
      <w:r>
        <w:rPr>
          <w:sz w:val="24"/>
          <w:u w:val="none"/>
        </w:rPr>
        <w:t xml:space="preserve">Effectiveness Review of the Security Management Plan. </w:t>
      </w:r>
      <w:r w:rsidR="0082242A">
        <w:rPr>
          <w:sz w:val="24"/>
          <w:u w:val="none"/>
        </w:rPr>
        <w:t xml:space="preserve">The review is the basis for Penrose – St. Francis Health Services and </w:t>
      </w:r>
      <w:r w:rsidR="00576DD0">
        <w:rPr>
          <w:sz w:val="24"/>
          <w:u w:val="none"/>
        </w:rPr>
        <w:t xml:space="preserve">G4S </w:t>
      </w:r>
      <w:r w:rsidR="00D60EC1">
        <w:rPr>
          <w:sz w:val="24"/>
          <w:u w:val="none"/>
        </w:rPr>
        <w:t>Secure Solutions</w:t>
      </w:r>
      <w:r w:rsidR="00D4141D">
        <w:rPr>
          <w:sz w:val="24"/>
          <w:u w:val="none"/>
        </w:rPr>
        <w:t xml:space="preserve"> </w:t>
      </w:r>
      <w:r w:rsidR="0082242A">
        <w:rPr>
          <w:sz w:val="24"/>
          <w:u w:val="none"/>
        </w:rPr>
        <w:t>leaders</w:t>
      </w:r>
      <w:r w:rsidR="00D60EC1">
        <w:rPr>
          <w:sz w:val="24"/>
          <w:u w:val="none"/>
        </w:rPr>
        <w:t>hip</w:t>
      </w:r>
      <w:r w:rsidR="0082242A">
        <w:rPr>
          <w:sz w:val="24"/>
          <w:u w:val="none"/>
        </w:rPr>
        <w:t xml:space="preserve"> to improve on </w:t>
      </w:r>
      <w:r w:rsidR="00D4141D">
        <w:rPr>
          <w:sz w:val="24"/>
          <w:u w:val="none"/>
        </w:rPr>
        <w:t xml:space="preserve">identified </w:t>
      </w:r>
      <w:r w:rsidR="0082242A">
        <w:rPr>
          <w:sz w:val="24"/>
          <w:u w:val="none"/>
        </w:rPr>
        <w:t>security vulnerabilities as it relates to the Environment of Care.</w:t>
      </w:r>
      <w:r w:rsidR="007842F1">
        <w:rPr>
          <w:sz w:val="24"/>
          <w:u w:val="none"/>
        </w:rPr>
        <w:t xml:space="preserve"> </w:t>
      </w:r>
    </w:p>
    <w:p w:rsidR="0082242A" w:rsidRDefault="0082242A" w:rsidP="007302AD">
      <w:pPr>
        <w:numPr>
          <w:ilvl w:val="0"/>
          <w:numId w:val="1"/>
        </w:numPr>
        <w:tabs>
          <w:tab w:val="num" w:pos="360"/>
        </w:tabs>
        <w:spacing w:after="60"/>
        <w:ind w:left="360"/>
        <w:jc w:val="both"/>
        <w:rPr>
          <w:sz w:val="24"/>
          <w:u w:val="none"/>
        </w:rPr>
      </w:pPr>
      <w:r>
        <w:rPr>
          <w:sz w:val="24"/>
          <w:u w:val="none"/>
        </w:rPr>
        <w:t>Penrose – St. Francis Health Services leadership assists in accomplishing the Security Management Plan’s objectives by performing the following actions:</w:t>
      </w:r>
    </w:p>
    <w:p w:rsidR="0082242A" w:rsidRDefault="0082242A" w:rsidP="007302AD">
      <w:pPr>
        <w:numPr>
          <w:ilvl w:val="0"/>
          <w:numId w:val="10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>Monitor contracted services by evaluating the services in relation to the hospital’s expectations.</w:t>
      </w:r>
      <w:r w:rsidR="007842F1">
        <w:rPr>
          <w:sz w:val="24"/>
          <w:u w:val="none"/>
        </w:rPr>
        <w:t xml:space="preserve"> </w:t>
      </w:r>
    </w:p>
    <w:p w:rsidR="0082242A" w:rsidRDefault="0082242A" w:rsidP="007302AD">
      <w:pPr>
        <w:numPr>
          <w:ilvl w:val="0"/>
          <w:numId w:val="11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 w:rsidRPr="003E7297">
        <w:rPr>
          <w:sz w:val="24"/>
          <w:u w:val="none"/>
        </w:rPr>
        <w:t xml:space="preserve">Works closely with </w:t>
      </w:r>
      <w:r w:rsidR="008F3276">
        <w:rPr>
          <w:sz w:val="24"/>
          <w:u w:val="none"/>
        </w:rPr>
        <w:t xml:space="preserve">the </w:t>
      </w:r>
      <w:r w:rsidR="00D4141D">
        <w:rPr>
          <w:sz w:val="24"/>
          <w:u w:val="none"/>
        </w:rPr>
        <w:t>Security Program</w:t>
      </w:r>
      <w:r w:rsidR="008F3276">
        <w:rPr>
          <w:sz w:val="24"/>
          <w:u w:val="none"/>
        </w:rPr>
        <w:t xml:space="preserve"> Manager</w:t>
      </w:r>
      <w:r w:rsidRPr="003E7297">
        <w:rPr>
          <w:sz w:val="24"/>
          <w:u w:val="none"/>
        </w:rPr>
        <w:t xml:space="preserve"> </w:t>
      </w:r>
      <w:r w:rsidR="00D4141D">
        <w:rPr>
          <w:sz w:val="24"/>
          <w:u w:val="none"/>
        </w:rPr>
        <w:t>to</w:t>
      </w:r>
      <w:r w:rsidRPr="003E7297">
        <w:rPr>
          <w:sz w:val="24"/>
          <w:u w:val="none"/>
        </w:rPr>
        <w:t xml:space="preserve"> </w:t>
      </w:r>
      <w:r w:rsidR="003E7297" w:rsidRPr="003E7297">
        <w:rPr>
          <w:sz w:val="24"/>
          <w:u w:val="none"/>
        </w:rPr>
        <w:t>identify</w:t>
      </w:r>
      <w:r w:rsidRPr="003E7297">
        <w:rPr>
          <w:sz w:val="24"/>
          <w:u w:val="none"/>
        </w:rPr>
        <w:t xml:space="preserve"> and prioritiz</w:t>
      </w:r>
      <w:r w:rsidR="00D4141D">
        <w:rPr>
          <w:sz w:val="24"/>
          <w:u w:val="none"/>
        </w:rPr>
        <w:t>e</w:t>
      </w:r>
      <w:r w:rsidRPr="003E7297">
        <w:rPr>
          <w:sz w:val="24"/>
          <w:u w:val="none"/>
        </w:rPr>
        <w:t xml:space="preserve"> Security Performance Improvement Measures based on changes in the internal or external environment.  </w:t>
      </w:r>
    </w:p>
    <w:p w:rsidR="008F3276" w:rsidRDefault="008F3276" w:rsidP="007302AD">
      <w:pPr>
        <w:numPr>
          <w:ilvl w:val="0"/>
          <w:numId w:val="13"/>
        </w:numPr>
        <w:tabs>
          <w:tab w:val="num" w:pos="1800"/>
        </w:tabs>
        <w:spacing w:before="60" w:after="20"/>
        <w:jc w:val="both"/>
        <w:rPr>
          <w:sz w:val="24"/>
          <w:u w:val="none"/>
        </w:rPr>
      </w:pPr>
      <w:r>
        <w:rPr>
          <w:sz w:val="24"/>
          <w:u w:val="none"/>
        </w:rPr>
        <w:t>Selected process improvement activity results are reported to the Environment of Care Committee at scheduled intervals.</w:t>
      </w:r>
      <w:r w:rsidR="007842F1">
        <w:rPr>
          <w:sz w:val="24"/>
          <w:u w:val="none"/>
        </w:rPr>
        <w:t xml:space="preserve"> </w:t>
      </w:r>
    </w:p>
    <w:p w:rsidR="00F37BC3" w:rsidRDefault="00F37BC3" w:rsidP="007302AD">
      <w:pPr>
        <w:numPr>
          <w:ilvl w:val="0"/>
          <w:numId w:val="13"/>
        </w:numPr>
        <w:tabs>
          <w:tab w:val="num" w:pos="1800"/>
        </w:tabs>
        <w:spacing w:before="60" w:after="20"/>
        <w:jc w:val="both"/>
        <w:rPr>
          <w:sz w:val="24"/>
          <w:u w:val="none"/>
        </w:rPr>
      </w:pPr>
      <w:r>
        <w:rPr>
          <w:sz w:val="24"/>
          <w:u w:val="none"/>
        </w:rPr>
        <w:t>Changes to the Performance Improvement Measures will be brought to the Environment of Care Committee for approval.</w:t>
      </w:r>
    </w:p>
    <w:p w:rsidR="003E7297" w:rsidRDefault="00576DD0" w:rsidP="007302AD">
      <w:pPr>
        <w:numPr>
          <w:ilvl w:val="0"/>
          <w:numId w:val="1"/>
        </w:numPr>
        <w:spacing w:after="60"/>
        <w:ind w:left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G4S </w:t>
      </w:r>
      <w:r w:rsidR="00D60EC1">
        <w:rPr>
          <w:sz w:val="24"/>
          <w:u w:val="none"/>
        </w:rPr>
        <w:t>Secure Solutions</w:t>
      </w:r>
      <w:r w:rsidR="003E7297">
        <w:rPr>
          <w:sz w:val="24"/>
          <w:u w:val="none"/>
        </w:rPr>
        <w:t xml:space="preserve"> will verify security staff qualifications by performing the following:</w:t>
      </w:r>
    </w:p>
    <w:p w:rsidR="003E7297" w:rsidRPr="007111B0" w:rsidRDefault="003E7297" w:rsidP="007302AD">
      <w:pPr>
        <w:numPr>
          <w:ilvl w:val="0"/>
          <w:numId w:val="12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>C</w:t>
      </w:r>
      <w:r w:rsidRPr="007111B0">
        <w:rPr>
          <w:sz w:val="24"/>
          <w:u w:val="none"/>
        </w:rPr>
        <w:t>onduct</w:t>
      </w:r>
      <w:r>
        <w:rPr>
          <w:sz w:val="24"/>
          <w:u w:val="none"/>
        </w:rPr>
        <w:t>ing</w:t>
      </w:r>
      <w:r w:rsidRPr="007111B0">
        <w:rPr>
          <w:sz w:val="24"/>
          <w:u w:val="none"/>
        </w:rPr>
        <w:t xml:space="preserve"> </w:t>
      </w:r>
      <w:r w:rsidR="00D4141D">
        <w:rPr>
          <w:sz w:val="24"/>
          <w:u w:val="none"/>
        </w:rPr>
        <w:t xml:space="preserve">initial </w:t>
      </w:r>
      <w:r w:rsidRPr="007111B0">
        <w:rPr>
          <w:sz w:val="24"/>
          <w:u w:val="none"/>
        </w:rPr>
        <w:t>criminal background check</w:t>
      </w:r>
      <w:r w:rsidR="00D4141D">
        <w:rPr>
          <w:sz w:val="24"/>
          <w:u w:val="none"/>
        </w:rPr>
        <w:t>s</w:t>
      </w:r>
      <w:r w:rsidRPr="007111B0">
        <w:rPr>
          <w:sz w:val="24"/>
          <w:u w:val="none"/>
        </w:rPr>
        <w:t xml:space="preserve"> on all security personnel as required by law and hospital policy.</w:t>
      </w:r>
      <w:r w:rsidR="007842F1">
        <w:rPr>
          <w:sz w:val="24"/>
          <w:u w:val="none"/>
        </w:rPr>
        <w:t xml:space="preserve"> </w:t>
      </w:r>
      <w:r w:rsidR="00D4141D">
        <w:rPr>
          <w:sz w:val="24"/>
          <w:u w:val="none"/>
        </w:rPr>
        <w:t>Conducting annual background checks as required before renew</w:t>
      </w:r>
      <w:r w:rsidR="00D60EC1">
        <w:rPr>
          <w:sz w:val="24"/>
          <w:u w:val="none"/>
        </w:rPr>
        <w:t xml:space="preserve">al of the </w:t>
      </w:r>
      <w:r w:rsidR="00D4141D">
        <w:rPr>
          <w:sz w:val="24"/>
          <w:u w:val="none"/>
        </w:rPr>
        <w:t>Security Officer license</w:t>
      </w:r>
      <w:r w:rsidR="00D60EC1">
        <w:rPr>
          <w:sz w:val="24"/>
          <w:u w:val="none"/>
        </w:rPr>
        <w:t xml:space="preserve"> each year</w:t>
      </w:r>
      <w:r w:rsidR="00D4141D">
        <w:rPr>
          <w:sz w:val="24"/>
          <w:u w:val="none"/>
        </w:rPr>
        <w:t>.</w:t>
      </w:r>
    </w:p>
    <w:p w:rsidR="0082242A" w:rsidRDefault="00D60EC1" w:rsidP="007302AD">
      <w:pPr>
        <w:numPr>
          <w:ilvl w:val="0"/>
          <w:numId w:val="12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>E</w:t>
      </w:r>
      <w:r w:rsidR="003E7297">
        <w:rPr>
          <w:sz w:val="24"/>
          <w:u w:val="none"/>
        </w:rPr>
        <w:t xml:space="preserve">nsure security officers assigned to PSFHS properties receive </w:t>
      </w:r>
      <w:r w:rsidR="00D4141D">
        <w:rPr>
          <w:sz w:val="24"/>
          <w:u w:val="none"/>
        </w:rPr>
        <w:t xml:space="preserve">physical </w:t>
      </w:r>
      <w:r w:rsidR="003E7297">
        <w:rPr>
          <w:sz w:val="24"/>
          <w:u w:val="none"/>
        </w:rPr>
        <w:t xml:space="preserve">orientation and ongoing education to maintain or increase competency.  All training </w:t>
      </w:r>
      <w:r>
        <w:rPr>
          <w:sz w:val="24"/>
          <w:u w:val="none"/>
        </w:rPr>
        <w:t>will be</w:t>
      </w:r>
      <w:r w:rsidR="003E7297">
        <w:rPr>
          <w:sz w:val="24"/>
          <w:u w:val="none"/>
        </w:rPr>
        <w:t xml:space="preserve"> documented and maintained on file</w:t>
      </w:r>
      <w:r w:rsidR="00D4141D">
        <w:rPr>
          <w:sz w:val="24"/>
          <w:u w:val="none"/>
        </w:rPr>
        <w:t xml:space="preserve"> with the Security Program Manager. </w:t>
      </w:r>
    </w:p>
    <w:p w:rsidR="003E7297" w:rsidRPr="007111B0" w:rsidRDefault="003E7297" w:rsidP="007302AD">
      <w:pPr>
        <w:numPr>
          <w:ilvl w:val="0"/>
          <w:numId w:val="12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 w:rsidRPr="007111B0">
        <w:rPr>
          <w:sz w:val="24"/>
          <w:u w:val="none"/>
        </w:rPr>
        <w:t xml:space="preserve">Competency-based staff evaluations </w:t>
      </w:r>
      <w:r w:rsidR="00AD52A5">
        <w:rPr>
          <w:sz w:val="24"/>
          <w:u w:val="none"/>
        </w:rPr>
        <w:t xml:space="preserve">will be completed a minimum of </w:t>
      </w:r>
      <w:r w:rsidRPr="007111B0">
        <w:rPr>
          <w:sz w:val="24"/>
          <w:u w:val="none"/>
        </w:rPr>
        <w:t>annually.</w:t>
      </w:r>
    </w:p>
    <w:p w:rsidR="003E7297" w:rsidRPr="007111B0" w:rsidRDefault="003E7297" w:rsidP="007302AD">
      <w:pPr>
        <w:numPr>
          <w:ilvl w:val="0"/>
          <w:numId w:val="12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 w:rsidRPr="007111B0">
        <w:rPr>
          <w:sz w:val="24"/>
          <w:u w:val="none"/>
        </w:rPr>
        <w:t xml:space="preserve">Take appropriate action when a security officer’s competence and/or behavior </w:t>
      </w:r>
      <w:proofErr w:type="gramStart"/>
      <w:r w:rsidRPr="007111B0">
        <w:rPr>
          <w:sz w:val="24"/>
          <w:u w:val="none"/>
        </w:rPr>
        <w:t>does</w:t>
      </w:r>
      <w:proofErr w:type="gramEnd"/>
      <w:r w:rsidRPr="007111B0">
        <w:rPr>
          <w:sz w:val="24"/>
          <w:u w:val="none"/>
        </w:rPr>
        <w:t xml:space="preserve"> not meet </w:t>
      </w:r>
      <w:r w:rsidR="00576DD0">
        <w:rPr>
          <w:sz w:val="24"/>
          <w:u w:val="none"/>
        </w:rPr>
        <w:t>G4S</w:t>
      </w:r>
      <w:r w:rsidR="00AD52A5">
        <w:rPr>
          <w:sz w:val="24"/>
          <w:u w:val="none"/>
        </w:rPr>
        <w:t xml:space="preserve"> Secure Solutions </w:t>
      </w:r>
      <w:r w:rsidRPr="007111B0">
        <w:rPr>
          <w:sz w:val="24"/>
          <w:u w:val="none"/>
        </w:rPr>
        <w:t>or Penrose – St. Francis Health Services expectations.</w:t>
      </w:r>
    </w:p>
    <w:p w:rsidR="003E7297" w:rsidRPr="007111B0" w:rsidRDefault="00F37BC3" w:rsidP="007302AD">
      <w:pPr>
        <w:numPr>
          <w:ilvl w:val="0"/>
          <w:numId w:val="12"/>
        </w:numPr>
        <w:tabs>
          <w:tab w:val="left" w:pos="900"/>
        </w:tabs>
        <w:spacing w:after="60"/>
        <w:ind w:left="900"/>
        <w:jc w:val="both"/>
        <w:rPr>
          <w:sz w:val="24"/>
          <w:u w:val="none"/>
        </w:rPr>
      </w:pPr>
      <w:r>
        <w:rPr>
          <w:sz w:val="24"/>
          <w:u w:val="none"/>
        </w:rPr>
        <w:t>Provide</w:t>
      </w:r>
      <w:r w:rsidR="003E7297" w:rsidRPr="007111B0">
        <w:rPr>
          <w:sz w:val="24"/>
          <w:u w:val="none"/>
        </w:rPr>
        <w:t xml:space="preserve"> specialized training required to meet </w:t>
      </w:r>
      <w:r w:rsidR="00AD52A5">
        <w:rPr>
          <w:sz w:val="24"/>
          <w:u w:val="none"/>
        </w:rPr>
        <w:t xml:space="preserve">these </w:t>
      </w:r>
      <w:r w:rsidR="003E7297" w:rsidRPr="007111B0">
        <w:rPr>
          <w:sz w:val="24"/>
          <w:u w:val="none"/>
        </w:rPr>
        <w:t>expectations</w:t>
      </w:r>
      <w:r>
        <w:rPr>
          <w:sz w:val="24"/>
          <w:u w:val="none"/>
        </w:rPr>
        <w:t xml:space="preserve"> whenever responsibilities change</w:t>
      </w:r>
      <w:r w:rsidR="003E7297" w:rsidRPr="007111B0">
        <w:rPr>
          <w:sz w:val="24"/>
          <w:u w:val="none"/>
        </w:rPr>
        <w:t>.</w:t>
      </w:r>
    </w:p>
    <w:p w:rsidR="000179F9" w:rsidRDefault="00AE737E" w:rsidP="00846A4E">
      <w:pPr>
        <w:numPr>
          <w:ilvl w:val="0"/>
          <w:numId w:val="1"/>
        </w:numPr>
        <w:tabs>
          <w:tab w:val="num" w:pos="360"/>
        </w:tabs>
        <w:spacing w:after="120"/>
        <w:ind w:left="360"/>
        <w:jc w:val="both"/>
        <w:rPr>
          <w:sz w:val="24"/>
          <w:u w:val="none"/>
        </w:rPr>
      </w:pPr>
      <w:r w:rsidRPr="00FA358D">
        <w:rPr>
          <w:sz w:val="24"/>
          <w:u w:val="none"/>
        </w:rPr>
        <w:t xml:space="preserve">The following measures help Penrose - St. Francis Health Services and security leaders identify changes in Penrose - St. Francis Health Services’ security posture and develop remedies for negative changes. When an adverse change occurs, leaders assess the relative severity of the change and determine an appropriate response. </w:t>
      </w:r>
    </w:p>
    <w:p w:rsidR="00846A4E" w:rsidRDefault="00846A4E" w:rsidP="00846A4E">
      <w:pPr>
        <w:spacing w:after="120"/>
        <w:jc w:val="both"/>
        <w:rPr>
          <w:sz w:val="24"/>
          <w:u w:val="none"/>
        </w:rPr>
      </w:pPr>
    </w:p>
    <w:p w:rsidR="006512E0" w:rsidRDefault="006512E0" w:rsidP="00846A4E">
      <w:pPr>
        <w:spacing w:after="120"/>
        <w:jc w:val="both"/>
        <w:rPr>
          <w:sz w:val="24"/>
          <w:u w:val="none"/>
        </w:rPr>
      </w:pPr>
    </w:p>
    <w:p w:rsidR="00846A4E" w:rsidRDefault="00846A4E" w:rsidP="00846A4E">
      <w:pPr>
        <w:spacing w:after="120"/>
        <w:jc w:val="both"/>
        <w:rPr>
          <w:sz w:val="24"/>
          <w:u w:val="none"/>
        </w:rPr>
      </w:pPr>
    </w:p>
    <w:p w:rsidR="00AD52A5" w:rsidRDefault="00AD52A5" w:rsidP="00846A4E">
      <w:pPr>
        <w:spacing w:after="120"/>
        <w:jc w:val="both"/>
        <w:rPr>
          <w:sz w:val="24"/>
          <w:u w:val="non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990"/>
        <w:gridCol w:w="990"/>
        <w:gridCol w:w="1080"/>
        <w:gridCol w:w="1080"/>
        <w:gridCol w:w="1800"/>
      </w:tblGrid>
      <w:tr w:rsidR="007B3590" w:rsidRPr="00AE737E" w:rsidTr="006512E0">
        <w:trPr>
          <w:cantSplit/>
          <w:tblHeader/>
        </w:trPr>
        <w:tc>
          <w:tcPr>
            <w:tcW w:w="9000" w:type="dxa"/>
            <w:gridSpan w:val="6"/>
            <w:shd w:val="pct15" w:color="000000" w:fill="auto"/>
          </w:tcPr>
          <w:p w:rsidR="007B3590" w:rsidRPr="00015AFC" w:rsidRDefault="007B3590" w:rsidP="000B4CE6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lastRenderedPageBreak/>
              <w:t xml:space="preserve">PSFHS WIDE </w:t>
            </w:r>
            <w:r w:rsidRPr="00015AFC">
              <w:rPr>
                <w:b/>
                <w:sz w:val="24"/>
                <w:u w:val="none"/>
              </w:rPr>
              <w:t xml:space="preserve">SECURITY </w:t>
            </w:r>
            <w:r>
              <w:rPr>
                <w:b/>
                <w:sz w:val="24"/>
                <w:u w:val="none"/>
              </w:rPr>
              <w:t>PERFORMANCE IMPROVEMENT MEASURES</w:t>
            </w:r>
          </w:p>
        </w:tc>
      </w:tr>
      <w:tr w:rsidR="00AD62F3" w:rsidRPr="00015AFC" w:rsidTr="001E5520">
        <w:tc>
          <w:tcPr>
            <w:tcW w:w="3060" w:type="dxa"/>
            <w:shd w:val="pct10" w:color="auto" w:fill="auto"/>
            <w:vAlign w:val="bottom"/>
          </w:tcPr>
          <w:p w:rsidR="00AD62F3" w:rsidRPr="00015AFC" w:rsidRDefault="00AD62F3" w:rsidP="001E5520">
            <w:pPr>
              <w:jc w:val="center"/>
              <w:rPr>
                <w:b/>
                <w:sz w:val="24"/>
                <w:u w:val="none"/>
              </w:rPr>
            </w:pPr>
            <w:r w:rsidRPr="00015AFC">
              <w:rPr>
                <w:b/>
                <w:sz w:val="24"/>
                <w:u w:val="none"/>
              </w:rPr>
              <w:t>Measure</w:t>
            </w:r>
          </w:p>
          <w:p w:rsidR="00AD62F3" w:rsidRPr="00015AFC" w:rsidRDefault="00AD62F3" w:rsidP="001E5520">
            <w:pPr>
              <w:jc w:val="center"/>
              <w:rPr>
                <w:b/>
                <w:sz w:val="24"/>
                <w:u w:val="none"/>
              </w:rPr>
            </w:pPr>
            <w:r w:rsidRPr="00015AFC">
              <w:rPr>
                <w:b/>
                <w:sz w:val="24"/>
                <w:u w:val="none"/>
              </w:rPr>
              <w:t>Description</w:t>
            </w:r>
          </w:p>
        </w:tc>
        <w:tc>
          <w:tcPr>
            <w:tcW w:w="990" w:type="dxa"/>
            <w:shd w:val="pct10" w:color="auto" w:fill="auto"/>
            <w:vAlign w:val="bottom"/>
          </w:tcPr>
          <w:p w:rsidR="00AD62F3" w:rsidRPr="00015AFC" w:rsidRDefault="00AD62F3" w:rsidP="001E5520">
            <w:pPr>
              <w:jc w:val="center"/>
              <w:rPr>
                <w:b/>
                <w:sz w:val="24"/>
                <w:u w:val="none"/>
              </w:rPr>
            </w:pPr>
            <w:r w:rsidRPr="00015AFC">
              <w:rPr>
                <w:b/>
                <w:sz w:val="24"/>
                <w:u w:val="none"/>
              </w:rPr>
              <w:t>Period</w:t>
            </w:r>
          </w:p>
        </w:tc>
        <w:tc>
          <w:tcPr>
            <w:tcW w:w="990" w:type="dxa"/>
            <w:shd w:val="pct10" w:color="auto" w:fill="auto"/>
            <w:vAlign w:val="bottom"/>
          </w:tcPr>
          <w:p w:rsidR="00AD62F3" w:rsidRPr="00015AFC" w:rsidRDefault="007865A5" w:rsidP="007865A5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FY12</w:t>
            </w:r>
            <w:r w:rsidR="00AD62F3">
              <w:rPr>
                <w:b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Act. Value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AD62F3" w:rsidRPr="00015AFC" w:rsidRDefault="00AD62F3" w:rsidP="001E5520">
            <w:pPr>
              <w:jc w:val="center"/>
              <w:rPr>
                <w:b/>
                <w:sz w:val="24"/>
                <w:u w:val="none"/>
              </w:rPr>
            </w:pPr>
            <w:r w:rsidRPr="00015AFC">
              <w:rPr>
                <w:b/>
                <w:sz w:val="24"/>
                <w:u w:val="none"/>
              </w:rPr>
              <w:t>Goal</w:t>
            </w:r>
          </w:p>
        </w:tc>
        <w:tc>
          <w:tcPr>
            <w:tcW w:w="1080" w:type="dxa"/>
            <w:shd w:val="pct10" w:color="auto" w:fill="auto"/>
            <w:vAlign w:val="bottom"/>
          </w:tcPr>
          <w:p w:rsidR="00AD62F3" w:rsidRPr="00015AFC" w:rsidRDefault="00AD62F3" w:rsidP="001E5520">
            <w:pPr>
              <w:jc w:val="center"/>
              <w:rPr>
                <w:b/>
                <w:sz w:val="24"/>
                <w:u w:val="none"/>
              </w:rPr>
            </w:pPr>
            <w:r w:rsidRPr="00015AFC">
              <w:rPr>
                <w:b/>
                <w:sz w:val="24"/>
                <w:u w:val="none"/>
              </w:rPr>
              <w:t>Actual</w:t>
            </w:r>
          </w:p>
          <w:p w:rsidR="00AD62F3" w:rsidRPr="00015AFC" w:rsidRDefault="00AD62F3" w:rsidP="001E5520">
            <w:pPr>
              <w:jc w:val="center"/>
              <w:rPr>
                <w:b/>
                <w:sz w:val="24"/>
                <w:u w:val="none"/>
              </w:rPr>
            </w:pPr>
            <w:r w:rsidRPr="00015AFC">
              <w:rPr>
                <w:b/>
                <w:sz w:val="24"/>
                <w:u w:val="none"/>
              </w:rPr>
              <w:t>Value</w:t>
            </w:r>
          </w:p>
        </w:tc>
        <w:tc>
          <w:tcPr>
            <w:tcW w:w="1800" w:type="dxa"/>
            <w:shd w:val="pct10" w:color="auto" w:fill="auto"/>
            <w:vAlign w:val="bottom"/>
          </w:tcPr>
          <w:p w:rsidR="00AD62F3" w:rsidRPr="00015AFC" w:rsidRDefault="00AD62F3" w:rsidP="001E5520">
            <w:pPr>
              <w:jc w:val="center"/>
              <w:rPr>
                <w:b/>
                <w:sz w:val="24"/>
                <w:u w:val="none"/>
              </w:rPr>
            </w:pPr>
            <w:r w:rsidRPr="00015AFC">
              <w:rPr>
                <w:b/>
                <w:sz w:val="24"/>
                <w:u w:val="none"/>
              </w:rPr>
              <w:t>Action(s) taken when Actual Value falls below Goal</w:t>
            </w:r>
          </w:p>
        </w:tc>
      </w:tr>
      <w:tr w:rsidR="004B3634" w:rsidRPr="00AE737E" w:rsidTr="00C13A15">
        <w:trPr>
          <w:cantSplit/>
          <w:trHeight w:val="389"/>
        </w:trPr>
        <w:tc>
          <w:tcPr>
            <w:tcW w:w="3060" w:type="dxa"/>
            <w:vMerge w:val="restart"/>
          </w:tcPr>
          <w:p w:rsidR="004B3634" w:rsidRPr="00015AFC" w:rsidRDefault="004B3634" w:rsidP="007865A5">
            <w:pPr>
              <w:rPr>
                <w:sz w:val="24"/>
                <w:u w:val="none"/>
              </w:rPr>
            </w:pPr>
            <w:r w:rsidRPr="00015AFC">
              <w:rPr>
                <w:sz w:val="24"/>
                <w:u w:val="none"/>
              </w:rPr>
              <w:t xml:space="preserve">The </w:t>
            </w:r>
            <w:r>
              <w:rPr>
                <w:sz w:val="24"/>
                <w:u w:val="none"/>
              </w:rPr>
              <w:t xml:space="preserve">amount </w:t>
            </w:r>
            <w:r w:rsidRPr="00015AFC">
              <w:rPr>
                <w:sz w:val="24"/>
                <w:u w:val="none"/>
              </w:rPr>
              <w:t xml:space="preserve">of </w:t>
            </w:r>
            <w:r>
              <w:rPr>
                <w:sz w:val="24"/>
                <w:u w:val="none"/>
              </w:rPr>
              <w:t xml:space="preserve">“No Patrol Hours” </w:t>
            </w:r>
            <w:r w:rsidRPr="00015AFC">
              <w:rPr>
                <w:sz w:val="24"/>
                <w:u w:val="none"/>
              </w:rPr>
              <w:t xml:space="preserve">does not exceed </w:t>
            </w:r>
            <w:r>
              <w:rPr>
                <w:sz w:val="24"/>
                <w:u w:val="none"/>
              </w:rPr>
              <w:t>FY 12’s quarterly actual value</w:t>
            </w:r>
            <w:r w:rsidRPr="00015AFC">
              <w:rPr>
                <w:sz w:val="24"/>
                <w:u w:val="none"/>
              </w:rPr>
              <w:t xml:space="preserve">.  </w:t>
            </w:r>
          </w:p>
        </w:tc>
        <w:tc>
          <w:tcPr>
            <w:tcW w:w="990" w:type="dxa"/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Q1</w:t>
            </w:r>
          </w:p>
        </w:tc>
        <w:tc>
          <w:tcPr>
            <w:tcW w:w="990" w:type="dxa"/>
            <w:vAlign w:val="center"/>
          </w:tcPr>
          <w:p w:rsidR="004B3634" w:rsidRPr="00D674DF" w:rsidRDefault="004B3634" w:rsidP="00C13A15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3634" w:rsidRPr="00D674DF" w:rsidRDefault="004B3634" w:rsidP="004B3634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462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3634" w:rsidRPr="00023E79" w:rsidRDefault="004B3634" w:rsidP="000B4CE6">
            <w:pPr>
              <w:rPr>
                <w:sz w:val="24"/>
                <w:u w:val="non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B3634" w:rsidRPr="00023E79" w:rsidRDefault="004B3634" w:rsidP="000B4CE6">
            <w:pPr>
              <w:rPr>
                <w:sz w:val="24"/>
                <w:u w:val="none"/>
              </w:rPr>
            </w:pPr>
          </w:p>
        </w:tc>
      </w:tr>
      <w:tr w:rsidR="004B3634" w:rsidRPr="00AE737E" w:rsidTr="00777904">
        <w:trPr>
          <w:cantSplit/>
          <w:trHeight w:val="389"/>
        </w:trPr>
        <w:tc>
          <w:tcPr>
            <w:tcW w:w="3060" w:type="dxa"/>
            <w:vMerge/>
          </w:tcPr>
          <w:p w:rsidR="004B3634" w:rsidRPr="00015AFC" w:rsidRDefault="004B3634" w:rsidP="000B4CE6">
            <w:pPr>
              <w:rPr>
                <w:sz w:val="24"/>
                <w:u w:val="none"/>
              </w:rPr>
            </w:pPr>
          </w:p>
        </w:tc>
        <w:tc>
          <w:tcPr>
            <w:tcW w:w="990" w:type="dxa"/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Q2</w:t>
            </w:r>
          </w:p>
        </w:tc>
        <w:tc>
          <w:tcPr>
            <w:tcW w:w="990" w:type="dxa"/>
            <w:vAlign w:val="center"/>
          </w:tcPr>
          <w:p w:rsidR="004B3634" w:rsidRPr="00D674DF" w:rsidRDefault="004B3634" w:rsidP="000B4CE6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3634" w:rsidRPr="00D674DF" w:rsidRDefault="004B3634" w:rsidP="004B3634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487</w:t>
            </w:r>
          </w:p>
        </w:tc>
        <w:tc>
          <w:tcPr>
            <w:tcW w:w="108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</w:tr>
      <w:tr w:rsidR="004B3634" w:rsidRPr="00AE737E" w:rsidTr="00777904">
        <w:trPr>
          <w:cantSplit/>
          <w:trHeight w:val="389"/>
        </w:trPr>
        <w:tc>
          <w:tcPr>
            <w:tcW w:w="3060" w:type="dxa"/>
            <w:vMerge/>
          </w:tcPr>
          <w:p w:rsidR="004B3634" w:rsidRPr="00015AFC" w:rsidRDefault="004B3634" w:rsidP="000B4CE6">
            <w:pPr>
              <w:rPr>
                <w:sz w:val="24"/>
                <w:u w:val="none"/>
              </w:rPr>
            </w:pPr>
          </w:p>
        </w:tc>
        <w:tc>
          <w:tcPr>
            <w:tcW w:w="990" w:type="dxa"/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Q3</w:t>
            </w:r>
          </w:p>
        </w:tc>
        <w:tc>
          <w:tcPr>
            <w:tcW w:w="990" w:type="dxa"/>
            <w:vAlign w:val="center"/>
          </w:tcPr>
          <w:p w:rsidR="004B3634" w:rsidRPr="00D674DF" w:rsidRDefault="004B3634" w:rsidP="000B4CE6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3634" w:rsidRPr="00D674DF" w:rsidRDefault="004B3634" w:rsidP="004B3634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601</w:t>
            </w:r>
          </w:p>
        </w:tc>
        <w:tc>
          <w:tcPr>
            <w:tcW w:w="108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</w:tr>
      <w:tr w:rsidR="004B3634" w:rsidRPr="00AE737E" w:rsidTr="004B3634">
        <w:trPr>
          <w:cantSplit/>
          <w:trHeight w:val="467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4B3634" w:rsidRPr="00015AFC" w:rsidRDefault="004B3634" w:rsidP="000B4CE6">
            <w:pPr>
              <w:rPr>
                <w:sz w:val="24"/>
                <w:u w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B3634" w:rsidRPr="00D674DF" w:rsidRDefault="004B3634" w:rsidP="000B4CE6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634" w:rsidRPr="00D674DF" w:rsidRDefault="004B3634" w:rsidP="004B3634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</w:tr>
      <w:tr w:rsidR="004B3634" w:rsidRPr="00AE737E" w:rsidTr="004B3634">
        <w:trPr>
          <w:cantSplit/>
          <w:trHeight w:val="389"/>
        </w:trPr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4B3634" w:rsidRPr="00AE737E" w:rsidRDefault="004B3634" w:rsidP="004B3634">
            <w:pPr>
              <w:rPr>
                <w:sz w:val="24"/>
              </w:rPr>
            </w:pPr>
            <w:r w:rsidRPr="00015AFC">
              <w:rPr>
                <w:sz w:val="24"/>
                <w:u w:val="none"/>
              </w:rPr>
              <w:t>The number of “</w:t>
            </w:r>
            <w:r>
              <w:rPr>
                <w:sz w:val="24"/>
                <w:u w:val="none"/>
              </w:rPr>
              <w:t>open/unsecured door</w:t>
            </w:r>
            <w:r w:rsidRPr="00015AFC">
              <w:rPr>
                <w:sz w:val="24"/>
                <w:u w:val="none"/>
              </w:rPr>
              <w:t>” conditions,</w:t>
            </w:r>
            <w:r>
              <w:rPr>
                <w:sz w:val="24"/>
                <w:u w:val="none"/>
              </w:rPr>
              <w:t xml:space="preserve"> decreases from the previous quarter by 3%</w:t>
            </w:r>
            <w:r w:rsidRPr="00015AFC">
              <w:rPr>
                <w:sz w:val="24"/>
                <w:u w:val="none"/>
              </w:rPr>
              <w:t xml:space="preserve">.  The </w:t>
            </w:r>
            <w:r>
              <w:rPr>
                <w:sz w:val="24"/>
                <w:u w:val="none"/>
              </w:rPr>
              <w:t>FY13 first quarter goal is a 3% decrease from 4QFY12</w:t>
            </w:r>
            <w:r w:rsidRPr="00015AFC">
              <w:rPr>
                <w:sz w:val="24"/>
                <w:u w:val="none"/>
              </w:rPr>
              <w:t>.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634" w:rsidRPr="00DA535A" w:rsidRDefault="004B3634" w:rsidP="004B3634">
            <w:pPr>
              <w:jc w:val="center"/>
              <w:rPr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4B3634" w:rsidRPr="00D674DF" w:rsidRDefault="004B3634" w:rsidP="000B4CE6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628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</w:tr>
      <w:tr w:rsidR="004B3634" w:rsidRPr="00AE737E" w:rsidTr="004B3634">
        <w:trPr>
          <w:cantSplit/>
          <w:trHeight w:val="389"/>
        </w:trPr>
        <w:tc>
          <w:tcPr>
            <w:tcW w:w="3060" w:type="dxa"/>
            <w:vMerge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Q2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3634" w:rsidRPr="00DA535A" w:rsidRDefault="004B3634" w:rsidP="004B3634">
            <w:pPr>
              <w:jc w:val="center"/>
              <w:rPr>
                <w:sz w:val="24"/>
                <w:highlight w:val="lightGray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B3634" w:rsidRPr="00D674DF" w:rsidRDefault="004B3634" w:rsidP="000B4CE6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609</w:t>
            </w:r>
          </w:p>
        </w:tc>
        <w:tc>
          <w:tcPr>
            <w:tcW w:w="108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</w:tr>
      <w:tr w:rsidR="004B3634" w:rsidRPr="00AE737E" w:rsidTr="004B3634">
        <w:trPr>
          <w:cantSplit/>
          <w:trHeight w:val="389"/>
        </w:trPr>
        <w:tc>
          <w:tcPr>
            <w:tcW w:w="3060" w:type="dxa"/>
            <w:vMerge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B3634" w:rsidRPr="00DA535A" w:rsidRDefault="004B3634" w:rsidP="004B3634">
            <w:pPr>
              <w:jc w:val="center"/>
              <w:rPr>
                <w:sz w:val="24"/>
                <w:highlight w:val="lightGray"/>
                <w:u w:val="none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B3634" w:rsidRPr="00D674DF" w:rsidRDefault="004B3634" w:rsidP="000B4CE6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591</w:t>
            </w:r>
          </w:p>
        </w:tc>
        <w:tc>
          <w:tcPr>
            <w:tcW w:w="108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</w:tr>
      <w:tr w:rsidR="004B3634" w:rsidRPr="00AE737E" w:rsidTr="007661AD">
        <w:trPr>
          <w:cantSplit/>
          <w:trHeight w:val="395"/>
        </w:trPr>
        <w:tc>
          <w:tcPr>
            <w:tcW w:w="3060" w:type="dxa"/>
            <w:vMerge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4B3634" w:rsidRPr="00D674DF" w:rsidRDefault="004B3634" w:rsidP="00777904">
            <w:pPr>
              <w:jc w:val="center"/>
              <w:rPr>
                <w:sz w:val="24"/>
                <w:u w:val="none"/>
              </w:rPr>
            </w:pPr>
            <w:r w:rsidRPr="00D674DF">
              <w:rPr>
                <w:sz w:val="24"/>
                <w:u w:val="none"/>
              </w:rPr>
              <w:t>Q4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B3634" w:rsidRPr="00D674DF" w:rsidRDefault="004B3634" w:rsidP="00F51A53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3634" w:rsidRPr="00D674DF" w:rsidRDefault="004B3634" w:rsidP="000B4CE6">
            <w:pPr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573</w:t>
            </w:r>
          </w:p>
        </w:tc>
        <w:tc>
          <w:tcPr>
            <w:tcW w:w="108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B3634" w:rsidRPr="00AE737E" w:rsidRDefault="004B3634" w:rsidP="000B4CE6">
            <w:pPr>
              <w:rPr>
                <w:sz w:val="24"/>
              </w:rPr>
            </w:pPr>
          </w:p>
        </w:tc>
      </w:tr>
    </w:tbl>
    <w:p w:rsidR="00AE737E" w:rsidRDefault="00AE737E" w:rsidP="00AE737E">
      <w:pPr>
        <w:jc w:val="both"/>
        <w:rPr>
          <w:sz w:val="24"/>
          <w:u w:val="non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990"/>
        <w:gridCol w:w="4950"/>
      </w:tblGrid>
      <w:tr w:rsidR="00015AFC" w:rsidTr="00D674DF">
        <w:tc>
          <w:tcPr>
            <w:tcW w:w="3060" w:type="dxa"/>
            <w:shd w:val="pct10" w:color="auto" w:fill="auto"/>
          </w:tcPr>
          <w:p w:rsidR="00015AFC" w:rsidRPr="00015AFC" w:rsidRDefault="00015AFC" w:rsidP="000B4CE6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  <w:r w:rsidRPr="00015AFC">
              <w:rPr>
                <w:rFonts w:ascii="Arial" w:hAnsi="Arial"/>
                <w:b/>
                <w:sz w:val="22"/>
                <w:u w:val="none"/>
              </w:rPr>
              <w:t>Measure Description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0" w:color="auto" w:fill="auto"/>
          </w:tcPr>
          <w:p w:rsidR="00015AFC" w:rsidRPr="00015AFC" w:rsidRDefault="00015AFC" w:rsidP="000B4CE6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  <w:r w:rsidRPr="00015AFC">
              <w:rPr>
                <w:rFonts w:ascii="Arial" w:hAnsi="Arial"/>
                <w:b/>
                <w:sz w:val="22"/>
                <w:u w:val="none"/>
              </w:rPr>
              <w:t>Date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pct10" w:color="auto" w:fill="auto"/>
          </w:tcPr>
          <w:p w:rsidR="00015AFC" w:rsidRPr="00015AFC" w:rsidRDefault="00015AFC" w:rsidP="000B4CE6">
            <w:pPr>
              <w:jc w:val="center"/>
              <w:rPr>
                <w:rFonts w:ascii="Arial" w:hAnsi="Arial"/>
                <w:b/>
                <w:sz w:val="22"/>
                <w:u w:val="none"/>
              </w:rPr>
            </w:pPr>
            <w:r w:rsidRPr="00015AFC">
              <w:rPr>
                <w:rFonts w:ascii="Arial" w:hAnsi="Arial"/>
                <w:b/>
                <w:sz w:val="22"/>
                <w:u w:val="none"/>
              </w:rPr>
              <w:t>Results or Reason for No Drill</w:t>
            </w:r>
          </w:p>
        </w:tc>
      </w:tr>
      <w:tr w:rsidR="00015AFC" w:rsidTr="00D674DF">
        <w:trPr>
          <w:cantSplit/>
          <w:trHeight w:val="276"/>
        </w:trPr>
        <w:tc>
          <w:tcPr>
            <w:tcW w:w="3060" w:type="dxa"/>
            <w:vMerge w:val="restart"/>
            <w:vAlign w:val="center"/>
          </w:tcPr>
          <w:p w:rsidR="00015AFC" w:rsidRPr="00015AFC" w:rsidRDefault="00015AFC" w:rsidP="000B4CE6">
            <w:pPr>
              <w:rPr>
                <w:sz w:val="24"/>
                <w:u w:val="none"/>
              </w:rPr>
            </w:pPr>
            <w:r w:rsidRPr="00015AFC">
              <w:rPr>
                <w:sz w:val="24"/>
                <w:u w:val="none"/>
              </w:rPr>
              <w:t xml:space="preserve">Conduct </w:t>
            </w:r>
            <w:r w:rsidR="00B8502A">
              <w:rPr>
                <w:sz w:val="24"/>
                <w:u w:val="none"/>
              </w:rPr>
              <w:t xml:space="preserve">adequate </w:t>
            </w:r>
            <w:r w:rsidRPr="00015AFC">
              <w:rPr>
                <w:sz w:val="24"/>
                <w:u w:val="none"/>
              </w:rPr>
              <w:t>unannounced, facility-wide, infant abduction drills to include personnel who work day, evening, weekend, and/or nontraditional shifts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rPr>
                <w:rFonts w:ascii="Arial" w:hAnsi="Arial"/>
                <w:sz w:val="20"/>
              </w:rPr>
            </w:pPr>
          </w:p>
        </w:tc>
      </w:tr>
      <w:tr w:rsidR="00015AFC" w:rsidTr="00D674DF">
        <w:trPr>
          <w:cantSplit/>
          <w:trHeight w:val="277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015AFC" w:rsidRDefault="00015AFC" w:rsidP="000B4CE6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rPr>
                <w:rFonts w:ascii="Arial" w:hAnsi="Arial"/>
                <w:sz w:val="20"/>
              </w:rPr>
            </w:pPr>
          </w:p>
        </w:tc>
      </w:tr>
      <w:tr w:rsidR="00015AFC" w:rsidTr="00D674DF">
        <w:trPr>
          <w:cantSplit/>
          <w:trHeight w:val="276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015AFC" w:rsidRDefault="00015AFC" w:rsidP="000B4CE6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rPr>
                <w:rFonts w:ascii="Arial" w:hAnsi="Arial"/>
                <w:sz w:val="20"/>
              </w:rPr>
            </w:pPr>
          </w:p>
        </w:tc>
      </w:tr>
      <w:tr w:rsidR="00015AFC" w:rsidTr="00D674DF">
        <w:trPr>
          <w:cantSplit/>
          <w:trHeight w:val="277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015AFC" w:rsidRDefault="00015AFC" w:rsidP="000B4CE6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15AFC" w:rsidRDefault="00015AFC" w:rsidP="000B4CE6">
            <w:pPr>
              <w:rPr>
                <w:rFonts w:ascii="Arial" w:hAnsi="Arial"/>
                <w:sz w:val="20"/>
              </w:rPr>
            </w:pPr>
          </w:p>
        </w:tc>
      </w:tr>
    </w:tbl>
    <w:p w:rsidR="00AE737E" w:rsidRDefault="00AE737E" w:rsidP="006F173D">
      <w:pPr>
        <w:jc w:val="both"/>
      </w:pPr>
    </w:p>
    <w:sectPr w:rsidR="00AE737E" w:rsidSect="00846A4E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34" w:rsidRDefault="004B3634">
      <w:r>
        <w:separator/>
      </w:r>
    </w:p>
  </w:endnote>
  <w:endnote w:type="continuationSeparator" w:id="0">
    <w:p w:rsidR="004B3634" w:rsidRDefault="004B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34" w:rsidRDefault="00601CDD" w:rsidP="007A4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36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634" w:rsidRDefault="004B3634" w:rsidP="00681A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34" w:rsidRPr="00681A98" w:rsidRDefault="00601CDD" w:rsidP="007A4254">
    <w:pPr>
      <w:pStyle w:val="Footer"/>
      <w:framePr w:wrap="around" w:vAnchor="text" w:hAnchor="margin" w:xAlign="right" w:y="1"/>
      <w:rPr>
        <w:rStyle w:val="PageNumber"/>
        <w:sz w:val="24"/>
        <w:u w:val="none"/>
      </w:rPr>
    </w:pPr>
    <w:r w:rsidRPr="00681A98">
      <w:rPr>
        <w:rStyle w:val="PageNumber"/>
        <w:sz w:val="24"/>
        <w:u w:val="none"/>
      </w:rPr>
      <w:fldChar w:fldCharType="begin"/>
    </w:r>
    <w:r w:rsidR="004B3634" w:rsidRPr="00681A98">
      <w:rPr>
        <w:rStyle w:val="PageNumber"/>
        <w:sz w:val="24"/>
        <w:u w:val="none"/>
      </w:rPr>
      <w:instrText xml:space="preserve">PAGE  </w:instrText>
    </w:r>
    <w:r w:rsidRPr="00681A98">
      <w:rPr>
        <w:rStyle w:val="PageNumber"/>
        <w:sz w:val="24"/>
        <w:u w:val="none"/>
      </w:rPr>
      <w:fldChar w:fldCharType="separate"/>
    </w:r>
    <w:r w:rsidR="00AC5F1E">
      <w:rPr>
        <w:rStyle w:val="PageNumber"/>
        <w:noProof/>
        <w:sz w:val="24"/>
        <w:u w:val="none"/>
      </w:rPr>
      <w:t>4</w:t>
    </w:r>
    <w:r w:rsidRPr="00681A98">
      <w:rPr>
        <w:rStyle w:val="PageNumber"/>
        <w:sz w:val="24"/>
        <w:u w:val="none"/>
      </w:rPr>
      <w:fldChar w:fldCharType="end"/>
    </w:r>
  </w:p>
  <w:p w:rsidR="004B3634" w:rsidRDefault="004B3634" w:rsidP="00681A98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34" w:rsidRDefault="004B3634">
      <w:r>
        <w:separator/>
      </w:r>
    </w:p>
  </w:footnote>
  <w:footnote w:type="continuationSeparator" w:id="0">
    <w:p w:rsidR="004B3634" w:rsidRDefault="004B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34" w:rsidRDefault="00601C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B16"/>
    <w:multiLevelType w:val="hybridMultilevel"/>
    <w:tmpl w:val="EC04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C2B"/>
    <w:multiLevelType w:val="hybridMultilevel"/>
    <w:tmpl w:val="07989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BC52C4"/>
    <w:multiLevelType w:val="hybridMultilevel"/>
    <w:tmpl w:val="FDC2A64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243EDC"/>
    <w:multiLevelType w:val="hybridMultilevel"/>
    <w:tmpl w:val="85DCD2A6"/>
    <w:lvl w:ilvl="0" w:tplc="23E45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3A3D82"/>
    <w:multiLevelType w:val="hybridMultilevel"/>
    <w:tmpl w:val="C9368F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A9270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0123A40"/>
    <w:multiLevelType w:val="hybridMultilevel"/>
    <w:tmpl w:val="D428A0D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49B43B17"/>
    <w:multiLevelType w:val="hybridMultilevel"/>
    <w:tmpl w:val="4816E228"/>
    <w:lvl w:ilvl="0" w:tplc="23E45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1F66FB"/>
    <w:multiLevelType w:val="singleLevel"/>
    <w:tmpl w:val="0409000B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9">
    <w:nsid w:val="55770012"/>
    <w:multiLevelType w:val="hybridMultilevel"/>
    <w:tmpl w:val="A5509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ED6CBC"/>
    <w:multiLevelType w:val="hybridMultilevel"/>
    <w:tmpl w:val="691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B1722"/>
    <w:multiLevelType w:val="hybridMultilevel"/>
    <w:tmpl w:val="6D92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86DA4"/>
    <w:multiLevelType w:val="hybridMultilevel"/>
    <w:tmpl w:val="E5860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753"/>
    <w:rsid w:val="00004911"/>
    <w:rsid w:val="00011448"/>
    <w:rsid w:val="000124A4"/>
    <w:rsid w:val="00015AFC"/>
    <w:rsid w:val="000179F9"/>
    <w:rsid w:val="00023E79"/>
    <w:rsid w:val="000433D7"/>
    <w:rsid w:val="000551C6"/>
    <w:rsid w:val="00060980"/>
    <w:rsid w:val="000814B0"/>
    <w:rsid w:val="00083F43"/>
    <w:rsid w:val="00085841"/>
    <w:rsid w:val="00086523"/>
    <w:rsid w:val="00096B3E"/>
    <w:rsid w:val="000B4CE6"/>
    <w:rsid w:val="000D09DA"/>
    <w:rsid w:val="000D3201"/>
    <w:rsid w:val="000F494E"/>
    <w:rsid w:val="00101407"/>
    <w:rsid w:val="00145600"/>
    <w:rsid w:val="001539C2"/>
    <w:rsid w:val="00156B16"/>
    <w:rsid w:val="00160845"/>
    <w:rsid w:val="00160AF9"/>
    <w:rsid w:val="0017442A"/>
    <w:rsid w:val="0019738F"/>
    <w:rsid w:val="001A0806"/>
    <w:rsid w:val="001A35D3"/>
    <w:rsid w:val="001D083A"/>
    <w:rsid w:val="001E3058"/>
    <w:rsid w:val="001E5520"/>
    <w:rsid w:val="001F62FD"/>
    <w:rsid w:val="002010ED"/>
    <w:rsid w:val="00207505"/>
    <w:rsid w:val="00256650"/>
    <w:rsid w:val="00265313"/>
    <w:rsid w:val="00265E8B"/>
    <w:rsid w:val="00272928"/>
    <w:rsid w:val="002846AF"/>
    <w:rsid w:val="00354F61"/>
    <w:rsid w:val="003625CB"/>
    <w:rsid w:val="003641D8"/>
    <w:rsid w:val="0039571F"/>
    <w:rsid w:val="003A526F"/>
    <w:rsid w:val="003A5D58"/>
    <w:rsid w:val="003E7297"/>
    <w:rsid w:val="003F6B25"/>
    <w:rsid w:val="00400BF2"/>
    <w:rsid w:val="0040471C"/>
    <w:rsid w:val="004104CC"/>
    <w:rsid w:val="00421270"/>
    <w:rsid w:val="00427403"/>
    <w:rsid w:val="00464F5A"/>
    <w:rsid w:val="00483D56"/>
    <w:rsid w:val="004B24F9"/>
    <w:rsid w:val="004B3634"/>
    <w:rsid w:val="004B4FA1"/>
    <w:rsid w:val="004C0833"/>
    <w:rsid w:val="00514E52"/>
    <w:rsid w:val="00535E76"/>
    <w:rsid w:val="00544753"/>
    <w:rsid w:val="0057541F"/>
    <w:rsid w:val="00576DD0"/>
    <w:rsid w:val="005821FC"/>
    <w:rsid w:val="005839B2"/>
    <w:rsid w:val="00586EDD"/>
    <w:rsid w:val="0059017E"/>
    <w:rsid w:val="00593878"/>
    <w:rsid w:val="005A337E"/>
    <w:rsid w:val="005C242D"/>
    <w:rsid w:val="005D1A23"/>
    <w:rsid w:val="005D6C0C"/>
    <w:rsid w:val="005F2798"/>
    <w:rsid w:val="005F2B99"/>
    <w:rsid w:val="005F2E46"/>
    <w:rsid w:val="00601CDD"/>
    <w:rsid w:val="006512E0"/>
    <w:rsid w:val="00681A98"/>
    <w:rsid w:val="00686DE1"/>
    <w:rsid w:val="006A295C"/>
    <w:rsid w:val="006E151B"/>
    <w:rsid w:val="006E37EB"/>
    <w:rsid w:val="006E595E"/>
    <w:rsid w:val="006F173D"/>
    <w:rsid w:val="006F1B1D"/>
    <w:rsid w:val="006F3604"/>
    <w:rsid w:val="007001D0"/>
    <w:rsid w:val="00700E8D"/>
    <w:rsid w:val="00705FDB"/>
    <w:rsid w:val="007111B0"/>
    <w:rsid w:val="0072189B"/>
    <w:rsid w:val="007218CC"/>
    <w:rsid w:val="007302AD"/>
    <w:rsid w:val="0075007E"/>
    <w:rsid w:val="00764D66"/>
    <w:rsid w:val="007661AD"/>
    <w:rsid w:val="007703E7"/>
    <w:rsid w:val="00777904"/>
    <w:rsid w:val="007842F1"/>
    <w:rsid w:val="007865A5"/>
    <w:rsid w:val="007A2BF3"/>
    <w:rsid w:val="007A4254"/>
    <w:rsid w:val="007A79AD"/>
    <w:rsid w:val="007B073C"/>
    <w:rsid w:val="007B11CB"/>
    <w:rsid w:val="007B3590"/>
    <w:rsid w:val="007E2D27"/>
    <w:rsid w:val="007F2053"/>
    <w:rsid w:val="007F3EE3"/>
    <w:rsid w:val="007F71C2"/>
    <w:rsid w:val="008070F9"/>
    <w:rsid w:val="00811F82"/>
    <w:rsid w:val="008166AA"/>
    <w:rsid w:val="0082242A"/>
    <w:rsid w:val="00841ACF"/>
    <w:rsid w:val="008429EA"/>
    <w:rsid w:val="00846A4E"/>
    <w:rsid w:val="008804E8"/>
    <w:rsid w:val="008833F9"/>
    <w:rsid w:val="0088708E"/>
    <w:rsid w:val="008A7EA8"/>
    <w:rsid w:val="008B5DB4"/>
    <w:rsid w:val="008D5976"/>
    <w:rsid w:val="008F3276"/>
    <w:rsid w:val="00907663"/>
    <w:rsid w:val="009219DB"/>
    <w:rsid w:val="009369AC"/>
    <w:rsid w:val="00936CD1"/>
    <w:rsid w:val="0093778C"/>
    <w:rsid w:val="00955497"/>
    <w:rsid w:val="009576F7"/>
    <w:rsid w:val="009B13B3"/>
    <w:rsid w:val="009B2A51"/>
    <w:rsid w:val="00A16FE3"/>
    <w:rsid w:val="00A20D0E"/>
    <w:rsid w:val="00A23D5C"/>
    <w:rsid w:val="00A24821"/>
    <w:rsid w:val="00A347C7"/>
    <w:rsid w:val="00A8267C"/>
    <w:rsid w:val="00A93952"/>
    <w:rsid w:val="00AB206B"/>
    <w:rsid w:val="00AB45EB"/>
    <w:rsid w:val="00AB4CFA"/>
    <w:rsid w:val="00AC5EA2"/>
    <w:rsid w:val="00AC5F1E"/>
    <w:rsid w:val="00AD07D3"/>
    <w:rsid w:val="00AD52A5"/>
    <w:rsid w:val="00AD62F3"/>
    <w:rsid w:val="00AE737E"/>
    <w:rsid w:val="00B02AAA"/>
    <w:rsid w:val="00B160C7"/>
    <w:rsid w:val="00B255AE"/>
    <w:rsid w:val="00B26157"/>
    <w:rsid w:val="00B368B4"/>
    <w:rsid w:val="00B369EB"/>
    <w:rsid w:val="00B375E0"/>
    <w:rsid w:val="00B52C7F"/>
    <w:rsid w:val="00B67D60"/>
    <w:rsid w:val="00B76090"/>
    <w:rsid w:val="00B8502A"/>
    <w:rsid w:val="00B8621E"/>
    <w:rsid w:val="00B90DA8"/>
    <w:rsid w:val="00BD291D"/>
    <w:rsid w:val="00BD346C"/>
    <w:rsid w:val="00BD41DF"/>
    <w:rsid w:val="00BD6628"/>
    <w:rsid w:val="00BE0B1A"/>
    <w:rsid w:val="00BE5EF1"/>
    <w:rsid w:val="00BE65E2"/>
    <w:rsid w:val="00BE6C64"/>
    <w:rsid w:val="00BE7F6F"/>
    <w:rsid w:val="00C12A61"/>
    <w:rsid w:val="00C13A15"/>
    <w:rsid w:val="00C20EA6"/>
    <w:rsid w:val="00C36D7C"/>
    <w:rsid w:val="00C67972"/>
    <w:rsid w:val="00C70A0F"/>
    <w:rsid w:val="00C74C3F"/>
    <w:rsid w:val="00C90769"/>
    <w:rsid w:val="00C91190"/>
    <w:rsid w:val="00CB1BDD"/>
    <w:rsid w:val="00CC321F"/>
    <w:rsid w:val="00CD1278"/>
    <w:rsid w:val="00D36C1D"/>
    <w:rsid w:val="00D4141D"/>
    <w:rsid w:val="00D41786"/>
    <w:rsid w:val="00D60EC1"/>
    <w:rsid w:val="00D674DF"/>
    <w:rsid w:val="00D800C3"/>
    <w:rsid w:val="00D82513"/>
    <w:rsid w:val="00D939C3"/>
    <w:rsid w:val="00DA535A"/>
    <w:rsid w:val="00DD1209"/>
    <w:rsid w:val="00DD669C"/>
    <w:rsid w:val="00DF5598"/>
    <w:rsid w:val="00DF759A"/>
    <w:rsid w:val="00E25846"/>
    <w:rsid w:val="00E63BA2"/>
    <w:rsid w:val="00E7602A"/>
    <w:rsid w:val="00E961E4"/>
    <w:rsid w:val="00EB5754"/>
    <w:rsid w:val="00ED05A3"/>
    <w:rsid w:val="00ED07FB"/>
    <w:rsid w:val="00ED4BFE"/>
    <w:rsid w:val="00F178C7"/>
    <w:rsid w:val="00F209DB"/>
    <w:rsid w:val="00F37BC3"/>
    <w:rsid w:val="00F51407"/>
    <w:rsid w:val="00F51A53"/>
    <w:rsid w:val="00F5558E"/>
    <w:rsid w:val="00F643E6"/>
    <w:rsid w:val="00FA2B0D"/>
    <w:rsid w:val="00FA358D"/>
    <w:rsid w:val="00FB1A1F"/>
    <w:rsid w:val="00FF09B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2F3"/>
    <w:rPr>
      <w:sz w:val="16"/>
      <w:szCs w:val="24"/>
      <w:u w:val="single"/>
    </w:rPr>
  </w:style>
  <w:style w:type="paragraph" w:styleId="Heading1">
    <w:name w:val="heading 1"/>
    <w:basedOn w:val="Normal"/>
    <w:next w:val="Normal"/>
    <w:qFormat/>
    <w:rsid w:val="004B4FA1"/>
    <w:pPr>
      <w:keepNext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rsid w:val="004B4FA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4FA1"/>
    <w:rPr>
      <w:sz w:val="24"/>
      <w:u w:val="none"/>
    </w:rPr>
  </w:style>
  <w:style w:type="paragraph" w:styleId="BodyTextIndent">
    <w:name w:val="Body Text Indent"/>
    <w:basedOn w:val="Normal"/>
    <w:rsid w:val="004B4FA1"/>
    <w:pPr>
      <w:tabs>
        <w:tab w:val="left" w:pos="1080"/>
      </w:tabs>
      <w:ind w:left="360"/>
    </w:pPr>
    <w:rPr>
      <w:sz w:val="24"/>
      <w:u w:val="none"/>
    </w:rPr>
  </w:style>
  <w:style w:type="paragraph" w:styleId="Header">
    <w:name w:val="header"/>
    <w:basedOn w:val="Normal"/>
    <w:rsid w:val="004B4FA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u w:val="none"/>
    </w:rPr>
  </w:style>
  <w:style w:type="paragraph" w:styleId="BodyText2">
    <w:name w:val="Body Text 2"/>
    <w:basedOn w:val="Normal"/>
    <w:rsid w:val="004B4FA1"/>
    <w:pPr>
      <w:overflowPunct w:val="0"/>
      <w:autoSpaceDE w:val="0"/>
      <w:autoSpaceDN w:val="0"/>
      <w:adjustRightInd w:val="0"/>
      <w:ind w:left="990"/>
      <w:textAlignment w:val="baseline"/>
    </w:pPr>
    <w:rPr>
      <w:sz w:val="24"/>
      <w:szCs w:val="20"/>
      <w:u w:val="none"/>
    </w:rPr>
  </w:style>
  <w:style w:type="paragraph" w:styleId="BlockText">
    <w:name w:val="Block Text"/>
    <w:basedOn w:val="Normal"/>
    <w:rsid w:val="004B4FA1"/>
    <w:pPr>
      <w:ind w:left="720" w:right="-954"/>
    </w:pPr>
    <w:rPr>
      <w:sz w:val="24"/>
      <w:u w:val="none"/>
    </w:rPr>
  </w:style>
  <w:style w:type="paragraph" w:styleId="BodyTextIndent2">
    <w:name w:val="Body Text Indent 2"/>
    <w:basedOn w:val="Normal"/>
    <w:rsid w:val="004B4FA1"/>
    <w:pPr>
      <w:tabs>
        <w:tab w:val="left" w:pos="720"/>
      </w:tabs>
      <w:ind w:left="720"/>
    </w:pPr>
    <w:rPr>
      <w:sz w:val="24"/>
      <w:u w:val="none"/>
    </w:rPr>
  </w:style>
  <w:style w:type="paragraph" w:styleId="Footer">
    <w:name w:val="footer"/>
    <w:basedOn w:val="Normal"/>
    <w:rsid w:val="004B4F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FA1"/>
  </w:style>
  <w:style w:type="paragraph" w:styleId="BodyText3">
    <w:name w:val="Body Text 3"/>
    <w:basedOn w:val="Normal"/>
    <w:rsid w:val="004B4FA1"/>
    <w:rPr>
      <w:u w:val="none"/>
    </w:rPr>
  </w:style>
  <w:style w:type="paragraph" w:styleId="BalloonText">
    <w:name w:val="Balloon Text"/>
    <w:basedOn w:val="Normal"/>
    <w:semiHidden/>
    <w:rsid w:val="001A35D3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</vt:lpstr>
    </vt:vector>
  </TitlesOfParts>
  <Company>Centura Health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/>
  <dc:creator>Centura Associate</dc:creator>
  <cp:keywords/>
  <cp:lastModifiedBy>dnussdor</cp:lastModifiedBy>
  <cp:revision>5</cp:revision>
  <cp:lastPrinted>2011-07-11T18:20:00Z</cp:lastPrinted>
  <dcterms:created xsi:type="dcterms:W3CDTF">2012-08-14T17:12:00Z</dcterms:created>
  <dcterms:modified xsi:type="dcterms:W3CDTF">2013-03-22T21:36:00Z</dcterms:modified>
</cp:coreProperties>
</file>