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B052DE" w:rsidTr="003E6300">
        <w:trPr>
          <w:trHeight w:val="413"/>
        </w:trPr>
        <w:tc>
          <w:tcPr>
            <w:tcW w:w="10818" w:type="dxa"/>
            <w:gridSpan w:val="2"/>
          </w:tcPr>
          <w:p w:rsidR="00B052DE" w:rsidRDefault="00B052DE" w:rsidP="003E6300">
            <w:pPr>
              <w:ind w:left="-36" w:firstLine="36"/>
              <w:rPr>
                <w:b/>
              </w:rPr>
            </w:pPr>
            <w:r>
              <w:rPr>
                <w:b/>
                <w:sz w:val="22"/>
                <w:szCs w:val="22"/>
              </w:rPr>
              <w:t>POLICY TITLE:   Code SILVER---Lockdown/Limited Access</w:t>
            </w:r>
          </w:p>
        </w:tc>
      </w:tr>
      <w:tr w:rsidR="00B052DE" w:rsidTr="003E6300">
        <w:trPr>
          <w:trHeight w:val="413"/>
        </w:trPr>
        <w:tc>
          <w:tcPr>
            <w:tcW w:w="5508" w:type="dxa"/>
          </w:tcPr>
          <w:p w:rsidR="00B052DE" w:rsidRDefault="00B052DE" w:rsidP="003E6300">
            <w:pPr>
              <w:ind w:left="-36" w:firstLine="36"/>
              <w:rPr>
                <w:b/>
              </w:rPr>
            </w:pPr>
            <w:r>
              <w:rPr>
                <w:b/>
                <w:sz w:val="22"/>
                <w:szCs w:val="22"/>
              </w:rPr>
              <w:t>Department: Interdisciplinary</w:t>
            </w:r>
          </w:p>
        </w:tc>
        <w:tc>
          <w:tcPr>
            <w:tcW w:w="5310" w:type="dxa"/>
          </w:tcPr>
          <w:p w:rsidR="00B052DE" w:rsidRDefault="00B052DE" w:rsidP="003E6300">
            <w:pPr>
              <w:ind w:left="-36" w:firstLine="36"/>
              <w:rPr>
                <w:b/>
              </w:rPr>
            </w:pPr>
            <w:r>
              <w:rPr>
                <w:b/>
                <w:sz w:val="22"/>
                <w:szCs w:val="22"/>
              </w:rPr>
              <w:t>Policy Number:    IDP C-01-k</w:t>
            </w:r>
          </w:p>
          <w:p w:rsidR="00B052DE" w:rsidRDefault="00B052DE" w:rsidP="003E6300">
            <w:pPr>
              <w:ind w:left="-36" w:firstLine="36"/>
              <w:rPr>
                <w:i/>
                <w:sz w:val="18"/>
                <w:szCs w:val="18"/>
              </w:rPr>
            </w:pPr>
          </w:p>
        </w:tc>
      </w:tr>
      <w:tr w:rsidR="00B052DE" w:rsidTr="003E6300">
        <w:tc>
          <w:tcPr>
            <w:tcW w:w="5508" w:type="dxa"/>
          </w:tcPr>
          <w:p w:rsidR="00B052DE" w:rsidRDefault="00B052DE" w:rsidP="003E6300">
            <w:pPr>
              <w:rPr>
                <w:b/>
              </w:rPr>
            </w:pPr>
            <w:r>
              <w:rPr>
                <w:b/>
                <w:sz w:val="22"/>
                <w:szCs w:val="22"/>
              </w:rPr>
              <w:t>History of Review/Revision Dates:</w:t>
            </w:r>
          </w:p>
          <w:p w:rsidR="00B052DE" w:rsidRPr="002973DF" w:rsidRDefault="00B052DE" w:rsidP="003E6300">
            <w:pPr>
              <w:rPr>
                <w:b/>
              </w:rPr>
            </w:pPr>
            <w:r>
              <w:rPr>
                <w:b/>
                <w:sz w:val="22"/>
                <w:szCs w:val="22"/>
              </w:rPr>
              <w:t>09/08, 09/10</w:t>
            </w:r>
          </w:p>
          <w:p w:rsidR="00B052DE" w:rsidRDefault="00B052DE" w:rsidP="003E6300">
            <w:pPr>
              <w:rPr>
                <w:b/>
              </w:rPr>
            </w:pPr>
          </w:p>
        </w:tc>
        <w:tc>
          <w:tcPr>
            <w:tcW w:w="5310" w:type="dxa"/>
          </w:tcPr>
          <w:p w:rsidR="00B052DE" w:rsidRDefault="00B052DE" w:rsidP="003E6300">
            <w:pPr>
              <w:rPr>
                <w:b/>
              </w:rPr>
            </w:pPr>
            <w:r>
              <w:rPr>
                <w:b/>
                <w:sz w:val="22"/>
                <w:szCs w:val="22"/>
              </w:rPr>
              <w:t>Effective Date:  06/30/2012</w:t>
            </w:r>
          </w:p>
          <w:p w:rsidR="00B052DE" w:rsidRDefault="00B052DE" w:rsidP="003E6300">
            <w:pPr>
              <w:rPr>
                <w:b/>
                <w:sz w:val="18"/>
                <w:szCs w:val="18"/>
              </w:rPr>
            </w:pPr>
            <w:r>
              <w:rPr>
                <w:i/>
                <w:sz w:val="18"/>
                <w:szCs w:val="18"/>
              </w:rPr>
              <w:t xml:space="preserve"> </w:t>
            </w:r>
          </w:p>
        </w:tc>
      </w:tr>
    </w:tbl>
    <w:p w:rsidR="00B052DE" w:rsidRPr="00F61060" w:rsidRDefault="00B052DE" w:rsidP="00B052DE">
      <w:pPr>
        <w:ind w:left="3600" w:firstLine="1440"/>
        <w:jc w:val="both"/>
        <w:rPr>
          <w:b/>
          <w: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3.75pt;margin-top:-39pt;width:56.25pt;height:44.25pt;z-index:-251658752;visibility:visible;mso-position-horizontal-relative:text;mso-position-vertical-relative:text" wrapcoords="-576 0 -576 21234 21888 21234 21888 0 -576 0">
            <v:imagedata r:id="rId7" o:title=""/>
            <w10:wrap type="tight"/>
          </v:shape>
        </w:pict>
      </w:r>
    </w:p>
    <w:p w:rsidR="00B052DE" w:rsidRDefault="00B052DE" w:rsidP="00B052DE">
      <w:pPr>
        <w:tabs>
          <w:tab w:val="left" w:pos="1800"/>
          <w:tab w:val="left" w:pos="2880"/>
          <w:tab w:val="left" w:pos="3060"/>
          <w:tab w:val="left" w:pos="3240"/>
          <w:tab w:val="left" w:pos="3420"/>
          <w:tab w:val="left" w:pos="3780"/>
          <w:tab w:val="left" w:pos="4590"/>
          <w:tab w:val="left" w:pos="4770"/>
        </w:tabs>
        <w:jc w:val="both"/>
      </w:pP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r>
        <w:rPr>
          <w:b/>
        </w:rPr>
        <w:t xml:space="preserve">SCOPE: </w:t>
      </w:r>
    </w:p>
    <w:p w:rsidR="00B052DE" w:rsidRPr="002D1336" w:rsidRDefault="00B052DE" w:rsidP="00B052DE">
      <w:pPr>
        <w:tabs>
          <w:tab w:val="left" w:pos="1800"/>
          <w:tab w:val="left" w:pos="2880"/>
          <w:tab w:val="left" w:pos="3060"/>
          <w:tab w:val="left" w:pos="3240"/>
          <w:tab w:val="left" w:pos="3420"/>
          <w:tab w:val="left" w:pos="3780"/>
          <w:tab w:val="left" w:pos="4590"/>
          <w:tab w:val="left" w:pos="4770"/>
        </w:tabs>
        <w:jc w:val="both"/>
      </w:pPr>
      <w:r>
        <w:t xml:space="preserve">This policy applies to all units/departments in the Penrose St. Francis System that would have the need to activate a Code SILVER. </w:t>
      </w: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i/>
        </w:rPr>
      </w:pPr>
      <w:r>
        <w:rPr>
          <w:i/>
        </w:rPr>
        <w:t xml:space="preserve">  </w:t>
      </w: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r>
        <w:rPr>
          <w:b/>
        </w:rPr>
        <w:t xml:space="preserve">PURPOSE: </w:t>
      </w:r>
    </w:p>
    <w:p w:rsidR="00B052DE" w:rsidRPr="002D1336" w:rsidRDefault="00B052DE" w:rsidP="00B052DE">
      <w:pPr>
        <w:tabs>
          <w:tab w:val="left" w:pos="1800"/>
          <w:tab w:val="left" w:pos="2880"/>
          <w:tab w:val="left" w:pos="3060"/>
          <w:tab w:val="left" w:pos="3240"/>
          <w:tab w:val="left" w:pos="3420"/>
          <w:tab w:val="left" w:pos="3780"/>
          <w:tab w:val="left" w:pos="4590"/>
          <w:tab w:val="left" w:pos="4770"/>
        </w:tabs>
        <w:jc w:val="both"/>
      </w:pPr>
      <w:r>
        <w:t xml:space="preserve">Regardless of the nature of the lockdown or whether it is a total, controlled or emergency lockdown, the broad objective is always the same.  A lockdown should be used to ensure the safety and security of staff, patients, public, property and assets. .   </w:t>
      </w: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r>
        <w:rPr>
          <w:b/>
        </w:rPr>
        <w:t xml:space="preserve">STATEMENT OF POLICY: </w:t>
      </w:r>
    </w:p>
    <w:p w:rsidR="00B052DE" w:rsidRDefault="00B052DE" w:rsidP="00B052DE">
      <w:pPr>
        <w:rPr>
          <w:rFonts w:cs="Arial"/>
          <w:szCs w:val="20"/>
        </w:rPr>
      </w:pPr>
      <w:r>
        <w:rPr>
          <w:rFonts w:cs="Arial"/>
          <w:szCs w:val="20"/>
        </w:rPr>
        <w:t>Code Silver will alert appropriate personnel to lock down the facility or Emergency Department in the event of an internal and/or external disaster or when hospital authorities determine it is necessary to secure a specific area during any off-campus or on-campus violence related activity (i.e. multiple stabbings, etc.)</w:t>
      </w:r>
    </w:p>
    <w:p w:rsidR="00B052DE" w:rsidRPr="00EF1F10" w:rsidRDefault="00B052DE" w:rsidP="00B052DE">
      <w:pPr>
        <w:pStyle w:val="BodyText"/>
      </w:pP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r>
        <w:rPr>
          <w:b/>
        </w:rPr>
        <w:t>PROCEDURE:</w:t>
      </w: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i/>
        </w:rPr>
      </w:pPr>
    </w:p>
    <w:p w:rsidR="00B052DE" w:rsidRPr="00D8360F" w:rsidRDefault="00B052DE" w:rsidP="00B052DE">
      <w:pPr>
        <w:pStyle w:val="ListParagraph"/>
        <w:numPr>
          <w:ilvl w:val="0"/>
          <w:numId w:val="1"/>
        </w:numPr>
        <w:tabs>
          <w:tab w:val="left" w:pos="1800"/>
          <w:tab w:val="left" w:pos="2880"/>
          <w:tab w:val="left" w:pos="3060"/>
          <w:tab w:val="left" w:pos="3240"/>
          <w:tab w:val="left" w:pos="3420"/>
          <w:tab w:val="left" w:pos="3780"/>
          <w:tab w:val="left" w:pos="4590"/>
          <w:tab w:val="left" w:pos="4770"/>
        </w:tabs>
        <w:jc w:val="both"/>
      </w:pPr>
      <w:r w:rsidRPr="00D8360F">
        <w:t xml:space="preserve">Secure Facility/Visitors                            </w:t>
      </w:r>
    </w:p>
    <w:p w:rsidR="00B052DE" w:rsidRPr="00D8360F" w:rsidRDefault="00B052DE" w:rsidP="00B052DE">
      <w:pPr>
        <w:pStyle w:val="ListParagraph"/>
        <w:numPr>
          <w:ilvl w:val="1"/>
          <w:numId w:val="1"/>
        </w:numPr>
        <w:tabs>
          <w:tab w:val="left" w:pos="1800"/>
          <w:tab w:val="left" w:pos="2880"/>
          <w:tab w:val="left" w:pos="3060"/>
          <w:tab w:val="left" w:pos="3240"/>
          <w:tab w:val="left" w:pos="3420"/>
          <w:tab w:val="left" w:pos="3780"/>
          <w:tab w:val="left" w:pos="4590"/>
          <w:tab w:val="left" w:pos="4770"/>
        </w:tabs>
        <w:jc w:val="both"/>
      </w:pPr>
      <w:r w:rsidRPr="00D8360F">
        <w:t xml:space="preserve">The hospital perimeter should be secured by locking and /or barricading all entrances and exits.  Hospital procedures may require certain doors remain unlocked to allow emergency responders in and out of the building. </w:t>
      </w:r>
    </w:p>
    <w:p w:rsidR="00B052DE" w:rsidRDefault="00B052DE" w:rsidP="00B052DE">
      <w:pPr>
        <w:pStyle w:val="ListParagraph"/>
        <w:numPr>
          <w:ilvl w:val="1"/>
          <w:numId w:val="2"/>
        </w:numPr>
        <w:tabs>
          <w:tab w:val="left" w:pos="1800"/>
          <w:tab w:val="left" w:pos="2880"/>
          <w:tab w:val="left" w:pos="3060"/>
          <w:tab w:val="left" w:pos="3240"/>
          <w:tab w:val="left" w:pos="3420"/>
          <w:tab w:val="left" w:pos="3780"/>
          <w:tab w:val="left" w:pos="4590"/>
          <w:tab w:val="left" w:pos="4770"/>
        </w:tabs>
        <w:jc w:val="both"/>
      </w:pPr>
      <w:r w:rsidRPr="00D8360F">
        <w:t xml:space="preserve">Visitors should be directed to a specified area where they will likely be required to remain until the lockdown has been lifted.      </w:t>
      </w:r>
    </w:p>
    <w:p w:rsidR="00B052DE" w:rsidRPr="00D8360F" w:rsidRDefault="00B052DE" w:rsidP="00B052DE">
      <w:pPr>
        <w:pStyle w:val="ListParagraph"/>
        <w:tabs>
          <w:tab w:val="left" w:pos="1800"/>
          <w:tab w:val="left" w:pos="2880"/>
          <w:tab w:val="left" w:pos="3060"/>
          <w:tab w:val="left" w:pos="3240"/>
          <w:tab w:val="left" w:pos="3420"/>
          <w:tab w:val="left" w:pos="3780"/>
          <w:tab w:val="left" w:pos="4590"/>
          <w:tab w:val="left" w:pos="4770"/>
        </w:tabs>
        <w:ind w:left="1440"/>
        <w:jc w:val="both"/>
      </w:pPr>
      <w:r w:rsidRPr="00D8360F">
        <w:t xml:space="preserve">   </w:t>
      </w:r>
    </w:p>
    <w:p w:rsidR="00B052DE" w:rsidRDefault="00B052DE" w:rsidP="00B052DE">
      <w:pPr>
        <w:pStyle w:val="ListParagraph"/>
        <w:numPr>
          <w:ilvl w:val="0"/>
          <w:numId w:val="1"/>
        </w:numPr>
        <w:tabs>
          <w:tab w:val="left" w:pos="1800"/>
          <w:tab w:val="left" w:pos="2880"/>
          <w:tab w:val="left" w:pos="3060"/>
          <w:tab w:val="left" w:pos="3240"/>
          <w:tab w:val="left" w:pos="3420"/>
          <w:tab w:val="left" w:pos="3780"/>
          <w:tab w:val="left" w:pos="4590"/>
          <w:tab w:val="left" w:pos="4770"/>
        </w:tabs>
        <w:jc w:val="both"/>
      </w:pPr>
      <w:r w:rsidRPr="00D8360F">
        <w:t>Notify Authorities</w:t>
      </w:r>
    </w:p>
    <w:p w:rsidR="00B052DE" w:rsidRDefault="00B052DE" w:rsidP="00B052DE">
      <w:pPr>
        <w:pStyle w:val="ListParagraph"/>
        <w:numPr>
          <w:ilvl w:val="0"/>
          <w:numId w:val="5"/>
        </w:numPr>
        <w:tabs>
          <w:tab w:val="left" w:pos="1800"/>
          <w:tab w:val="left" w:pos="2880"/>
          <w:tab w:val="left" w:pos="3060"/>
          <w:tab w:val="left" w:pos="3240"/>
          <w:tab w:val="left" w:pos="3420"/>
          <w:tab w:val="left" w:pos="3780"/>
          <w:tab w:val="left" w:pos="4590"/>
          <w:tab w:val="left" w:pos="4770"/>
        </w:tabs>
        <w:jc w:val="both"/>
      </w:pPr>
      <w:r w:rsidRPr="00D8360F">
        <w:t>Hospital staff should IMMEDIATELY contact local emergency responders, including the police and/or fire departments, in the event of a lockdown</w:t>
      </w:r>
    </w:p>
    <w:p w:rsidR="00B052DE" w:rsidRDefault="00B052DE" w:rsidP="00B052DE">
      <w:pPr>
        <w:pStyle w:val="ListParagraph"/>
        <w:numPr>
          <w:ilvl w:val="0"/>
          <w:numId w:val="5"/>
        </w:numPr>
        <w:tabs>
          <w:tab w:val="left" w:pos="1800"/>
          <w:tab w:val="left" w:pos="2880"/>
          <w:tab w:val="left" w:pos="3060"/>
          <w:tab w:val="left" w:pos="3240"/>
          <w:tab w:val="left" w:pos="3420"/>
          <w:tab w:val="left" w:pos="3780"/>
          <w:tab w:val="left" w:pos="4590"/>
          <w:tab w:val="left" w:pos="4770"/>
        </w:tabs>
        <w:jc w:val="both"/>
      </w:pPr>
      <w:r w:rsidRPr="00D8360F">
        <w:t>Ambulances should be re-directed to another facility or given the proper location for patient drop-off during the lockdown</w:t>
      </w:r>
      <w:r>
        <w:t>.</w:t>
      </w:r>
    </w:p>
    <w:p w:rsidR="00B052DE" w:rsidRDefault="00B052DE" w:rsidP="00B052DE">
      <w:pPr>
        <w:pStyle w:val="ListParagraph"/>
        <w:tabs>
          <w:tab w:val="left" w:pos="1800"/>
          <w:tab w:val="left" w:pos="2880"/>
          <w:tab w:val="left" w:pos="3060"/>
          <w:tab w:val="left" w:pos="3240"/>
          <w:tab w:val="left" w:pos="3420"/>
          <w:tab w:val="left" w:pos="3780"/>
          <w:tab w:val="left" w:pos="4590"/>
          <w:tab w:val="left" w:pos="4770"/>
        </w:tabs>
        <w:ind w:left="1080"/>
        <w:jc w:val="both"/>
      </w:pPr>
    </w:p>
    <w:p w:rsidR="00B052DE" w:rsidRDefault="00B052DE" w:rsidP="00B052DE">
      <w:pPr>
        <w:pStyle w:val="ListParagraph"/>
        <w:numPr>
          <w:ilvl w:val="0"/>
          <w:numId w:val="1"/>
        </w:numPr>
        <w:tabs>
          <w:tab w:val="left" w:pos="1800"/>
          <w:tab w:val="left" w:pos="2880"/>
          <w:tab w:val="left" w:pos="3060"/>
          <w:tab w:val="left" w:pos="3240"/>
          <w:tab w:val="left" w:pos="3420"/>
          <w:tab w:val="left" w:pos="3780"/>
          <w:tab w:val="left" w:pos="4590"/>
          <w:tab w:val="left" w:pos="4770"/>
        </w:tabs>
        <w:jc w:val="both"/>
      </w:pPr>
      <w:r w:rsidRPr="00D8360F">
        <w:t>Staff</w:t>
      </w:r>
    </w:p>
    <w:p w:rsidR="00B052DE" w:rsidRDefault="00B052DE" w:rsidP="00B052DE">
      <w:pPr>
        <w:pStyle w:val="ListParagraph"/>
        <w:numPr>
          <w:ilvl w:val="0"/>
          <w:numId w:val="6"/>
        </w:numPr>
        <w:tabs>
          <w:tab w:val="left" w:pos="1800"/>
          <w:tab w:val="left" w:pos="2880"/>
          <w:tab w:val="left" w:pos="3060"/>
          <w:tab w:val="left" w:pos="3240"/>
          <w:tab w:val="left" w:pos="3420"/>
          <w:tab w:val="left" w:pos="3780"/>
          <w:tab w:val="left" w:pos="4590"/>
          <w:tab w:val="left" w:pos="4770"/>
        </w:tabs>
        <w:jc w:val="both"/>
      </w:pPr>
      <w:r>
        <w:t xml:space="preserve">Staff </w:t>
      </w:r>
      <w:r w:rsidRPr="00D8360F">
        <w:t>will we</w:t>
      </w:r>
      <w:r>
        <w:t>ll-trailed in the policy and procedures for a hospital lockdown</w:t>
      </w:r>
    </w:p>
    <w:p w:rsidR="00B052DE" w:rsidRDefault="00B052DE" w:rsidP="00B052DE">
      <w:pPr>
        <w:pStyle w:val="ListParagraph"/>
        <w:numPr>
          <w:ilvl w:val="0"/>
          <w:numId w:val="6"/>
        </w:numPr>
        <w:tabs>
          <w:tab w:val="left" w:pos="1800"/>
          <w:tab w:val="left" w:pos="2880"/>
          <w:tab w:val="left" w:pos="3060"/>
          <w:tab w:val="left" w:pos="3240"/>
          <w:tab w:val="left" w:pos="3420"/>
          <w:tab w:val="left" w:pos="3780"/>
          <w:tab w:val="left" w:pos="4590"/>
          <w:tab w:val="left" w:pos="4770"/>
        </w:tabs>
        <w:jc w:val="both"/>
      </w:pPr>
      <w:r w:rsidRPr="00D8360F">
        <w:t xml:space="preserve">The hospital staff will remain calm and professional during the lockdown, in order to  </w:t>
      </w:r>
      <w:r>
        <w:t xml:space="preserve"> </w:t>
      </w:r>
      <w:r w:rsidRPr="00D8360F">
        <w:t xml:space="preserve">   </w:t>
      </w:r>
      <w:r>
        <w:t xml:space="preserve">keep visitor and patients calm. </w:t>
      </w:r>
    </w:p>
    <w:p w:rsidR="00B052DE" w:rsidRDefault="00B052DE" w:rsidP="00B052DE">
      <w:pPr>
        <w:pStyle w:val="ListParagraph"/>
        <w:tabs>
          <w:tab w:val="left" w:pos="1800"/>
          <w:tab w:val="left" w:pos="2880"/>
          <w:tab w:val="left" w:pos="3060"/>
          <w:tab w:val="left" w:pos="3240"/>
          <w:tab w:val="left" w:pos="3420"/>
          <w:tab w:val="left" w:pos="3780"/>
          <w:tab w:val="left" w:pos="4590"/>
          <w:tab w:val="left" w:pos="4770"/>
        </w:tabs>
        <w:ind w:left="1080"/>
        <w:jc w:val="both"/>
      </w:pPr>
    </w:p>
    <w:p w:rsidR="00B052DE" w:rsidRPr="00EF1F10" w:rsidRDefault="00B052DE" w:rsidP="00B052DE">
      <w:pPr>
        <w:pStyle w:val="ListParagraph"/>
        <w:numPr>
          <w:ilvl w:val="0"/>
          <w:numId w:val="1"/>
        </w:numPr>
        <w:tabs>
          <w:tab w:val="left" w:pos="1800"/>
          <w:tab w:val="left" w:pos="2880"/>
          <w:tab w:val="left" w:pos="3060"/>
          <w:tab w:val="left" w:pos="3240"/>
          <w:tab w:val="left" w:pos="3420"/>
          <w:tab w:val="left" w:pos="3780"/>
          <w:tab w:val="left" w:pos="4590"/>
          <w:tab w:val="left" w:pos="4770"/>
        </w:tabs>
        <w:jc w:val="both"/>
      </w:pPr>
      <w:r w:rsidRPr="00EF1F10">
        <w:rPr>
          <w:rFonts w:cs="Arial"/>
          <w:szCs w:val="20"/>
        </w:rPr>
        <w:lastRenderedPageBreak/>
        <w:t xml:space="preserve">Total Lockdown:  </w:t>
      </w:r>
    </w:p>
    <w:p w:rsidR="00B052DE" w:rsidRDefault="00B052DE" w:rsidP="00B052DE">
      <w:pPr>
        <w:pStyle w:val="ListParagraph"/>
        <w:numPr>
          <w:ilvl w:val="1"/>
          <w:numId w:val="1"/>
        </w:numPr>
        <w:rPr>
          <w:rFonts w:cs="Arial"/>
          <w:szCs w:val="20"/>
        </w:rPr>
      </w:pPr>
      <w:r w:rsidRPr="002D1336">
        <w:rPr>
          <w:rFonts w:cs="Arial"/>
          <w:szCs w:val="20"/>
        </w:rPr>
        <w:t xml:space="preserve">This is the highest level of facility and perimeter security.  </w:t>
      </w:r>
    </w:p>
    <w:p w:rsidR="00B052DE" w:rsidRDefault="00B052DE" w:rsidP="00B052DE">
      <w:pPr>
        <w:pStyle w:val="ListParagraph"/>
        <w:numPr>
          <w:ilvl w:val="1"/>
          <w:numId w:val="1"/>
        </w:numPr>
        <w:rPr>
          <w:rFonts w:cs="Arial"/>
          <w:szCs w:val="20"/>
        </w:rPr>
      </w:pPr>
      <w:r w:rsidRPr="002D1336">
        <w:rPr>
          <w:rFonts w:cs="Arial"/>
          <w:szCs w:val="20"/>
        </w:rPr>
        <w:t xml:space="preserve">During a total lockdown, ALL perimeter doors are secured and no one is allowed to enter or exit the facility.  </w:t>
      </w:r>
    </w:p>
    <w:p w:rsidR="00B052DE" w:rsidRDefault="00B052DE" w:rsidP="00B052DE">
      <w:pPr>
        <w:pStyle w:val="ListParagraph"/>
        <w:numPr>
          <w:ilvl w:val="1"/>
          <w:numId w:val="1"/>
        </w:numPr>
        <w:rPr>
          <w:rFonts w:cs="Arial"/>
          <w:szCs w:val="20"/>
        </w:rPr>
      </w:pPr>
      <w:r w:rsidRPr="002D1336">
        <w:rPr>
          <w:rFonts w:cs="Arial"/>
          <w:szCs w:val="20"/>
        </w:rPr>
        <w:t xml:space="preserve">The only movement that occurs within the facility during this time is mission essential movement or to escape imminent danger.  </w:t>
      </w:r>
    </w:p>
    <w:p w:rsidR="00B052DE" w:rsidRDefault="00B052DE" w:rsidP="00B052DE">
      <w:pPr>
        <w:pStyle w:val="ListParagraph"/>
        <w:numPr>
          <w:ilvl w:val="1"/>
          <w:numId w:val="1"/>
        </w:numPr>
        <w:rPr>
          <w:rFonts w:cs="Arial"/>
          <w:szCs w:val="20"/>
        </w:rPr>
      </w:pPr>
      <w:r w:rsidRPr="002D1336">
        <w:rPr>
          <w:rFonts w:cs="Arial"/>
          <w:szCs w:val="20"/>
        </w:rPr>
        <w:t>Security personnel and designees appointed by the Incident Commander, Senior Administration, Administrator on Call, or Nursing Supervisor will be assigned to key entrance/exit points.</w:t>
      </w:r>
    </w:p>
    <w:p w:rsidR="00B052DE" w:rsidRDefault="00B052DE" w:rsidP="00B052DE">
      <w:pPr>
        <w:pStyle w:val="ListParagraph"/>
        <w:numPr>
          <w:ilvl w:val="1"/>
          <w:numId w:val="1"/>
        </w:numPr>
        <w:rPr>
          <w:rFonts w:cs="Arial"/>
          <w:szCs w:val="20"/>
        </w:rPr>
      </w:pPr>
    </w:p>
    <w:p w:rsidR="00B052DE" w:rsidRPr="00031D84" w:rsidRDefault="00B052DE" w:rsidP="00B052DE">
      <w:pPr>
        <w:pStyle w:val="ListParagraph"/>
        <w:numPr>
          <w:ilvl w:val="0"/>
          <w:numId w:val="1"/>
        </w:numPr>
        <w:rPr>
          <w:rFonts w:cs="Arial"/>
          <w:szCs w:val="20"/>
        </w:rPr>
      </w:pPr>
      <w:r w:rsidRPr="00031D84">
        <w:rPr>
          <w:rFonts w:cs="Arial"/>
          <w:szCs w:val="20"/>
        </w:rPr>
        <w:t xml:space="preserve">Controlled Lockdown:  </w:t>
      </w:r>
    </w:p>
    <w:p w:rsidR="00B052DE" w:rsidRDefault="00B052DE" w:rsidP="00B052DE">
      <w:pPr>
        <w:pStyle w:val="ListParagraph"/>
        <w:numPr>
          <w:ilvl w:val="0"/>
          <w:numId w:val="7"/>
        </w:numPr>
        <w:rPr>
          <w:rFonts w:cs="Arial"/>
          <w:szCs w:val="20"/>
        </w:rPr>
      </w:pPr>
      <w:r w:rsidRPr="00031D84">
        <w:rPr>
          <w:rFonts w:cs="Arial"/>
          <w:szCs w:val="20"/>
        </w:rPr>
        <w:t>This is the medium level of facility and perimeter security.</w:t>
      </w:r>
    </w:p>
    <w:p w:rsidR="00B052DE" w:rsidRDefault="00B052DE" w:rsidP="00B052DE">
      <w:pPr>
        <w:pStyle w:val="ListParagraph"/>
        <w:numPr>
          <w:ilvl w:val="0"/>
          <w:numId w:val="7"/>
        </w:numPr>
        <w:rPr>
          <w:rFonts w:cs="Arial"/>
          <w:szCs w:val="20"/>
        </w:rPr>
      </w:pPr>
      <w:r w:rsidRPr="00031D84">
        <w:rPr>
          <w:rFonts w:cs="Arial"/>
          <w:szCs w:val="20"/>
        </w:rPr>
        <w:t xml:space="preserve">During a controlled lockdown, ALL perimeter doors are secured with the exception of </w:t>
      </w:r>
      <w:r w:rsidRPr="00031D84">
        <w:rPr>
          <w:rFonts w:cs="Arial"/>
          <w:szCs w:val="20"/>
          <w:u w:val="single"/>
        </w:rPr>
        <w:t>ONE</w:t>
      </w:r>
      <w:r w:rsidRPr="00031D84">
        <w:rPr>
          <w:rFonts w:cs="Arial"/>
          <w:szCs w:val="20"/>
        </w:rPr>
        <w:t xml:space="preserve"> designated entry/exit point.</w:t>
      </w:r>
    </w:p>
    <w:p w:rsidR="00B052DE" w:rsidRPr="00031D84" w:rsidRDefault="00B052DE" w:rsidP="00B052DE">
      <w:pPr>
        <w:pStyle w:val="ListParagraph"/>
        <w:numPr>
          <w:ilvl w:val="0"/>
          <w:numId w:val="7"/>
        </w:numPr>
        <w:rPr>
          <w:rFonts w:cs="Arial"/>
          <w:szCs w:val="20"/>
        </w:rPr>
      </w:pPr>
      <w:r w:rsidRPr="00031D84">
        <w:rPr>
          <w:rFonts w:cs="Arial"/>
          <w:szCs w:val="20"/>
        </w:rPr>
        <w:t>Security personnel and designees appointed by the Incident Commander, Senior Administration, Administrator on Call, or Nursing Supervisor will be assigned to key entrance/exit points.</w:t>
      </w:r>
    </w:p>
    <w:p w:rsidR="00B052DE" w:rsidRPr="002D1336" w:rsidRDefault="00B052DE" w:rsidP="00B052DE">
      <w:pPr>
        <w:pStyle w:val="ListParagraph"/>
        <w:rPr>
          <w:rFonts w:cs="Arial"/>
          <w:b/>
          <w:szCs w:val="20"/>
        </w:rPr>
      </w:pPr>
    </w:p>
    <w:p w:rsidR="00B052DE" w:rsidRPr="00031D84" w:rsidRDefault="00B052DE" w:rsidP="00B052DE">
      <w:pPr>
        <w:pStyle w:val="ListParagraph"/>
        <w:numPr>
          <w:ilvl w:val="0"/>
          <w:numId w:val="1"/>
        </w:numPr>
        <w:rPr>
          <w:rFonts w:cs="Arial"/>
          <w:szCs w:val="20"/>
        </w:rPr>
      </w:pPr>
      <w:r w:rsidRPr="00031D84">
        <w:rPr>
          <w:rFonts w:cs="Arial"/>
          <w:szCs w:val="20"/>
        </w:rPr>
        <w:t xml:space="preserve">Emergency Department Lockdown:  </w:t>
      </w:r>
    </w:p>
    <w:p w:rsidR="00B052DE" w:rsidRDefault="00B052DE" w:rsidP="00B052DE">
      <w:pPr>
        <w:pStyle w:val="ListParagraph"/>
        <w:numPr>
          <w:ilvl w:val="1"/>
          <w:numId w:val="1"/>
        </w:numPr>
        <w:rPr>
          <w:rFonts w:cs="Arial"/>
          <w:szCs w:val="20"/>
        </w:rPr>
      </w:pPr>
      <w:r w:rsidRPr="002D1336">
        <w:rPr>
          <w:rFonts w:cs="Arial"/>
          <w:szCs w:val="20"/>
        </w:rPr>
        <w:t xml:space="preserve">This type of lockdown is used to regulate entry/exit to the Emergency Department only.  </w:t>
      </w:r>
    </w:p>
    <w:p w:rsidR="00B052DE" w:rsidRDefault="00B052DE" w:rsidP="00B052DE">
      <w:pPr>
        <w:pStyle w:val="ListParagraph"/>
        <w:numPr>
          <w:ilvl w:val="1"/>
          <w:numId w:val="1"/>
        </w:numPr>
        <w:rPr>
          <w:rFonts w:cs="Arial"/>
          <w:szCs w:val="20"/>
        </w:rPr>
      </w:pPr>
      <w:r w:rsidRPr="002D1336">
        <w:rPr>
          <w:rFonts w:cs="Arial"/>
          <w:szCs w:val="20"/>
        </w:rPr>
        <w:t xml:space="preserve">All doors leading to the Emergency Department will be secured.  </w:t>
      </w:r>
    </w:p>
    <w:p w:rsidR="00B052DE" w:rsidRDefault="00B052DE" w:rsidP="00B052DE">
      <w:pPr>
        <w:pStyle w:val="ListParagraph"/>
        <w:numPr>
          <w:ilvl w:val="1"/>
          <w:numId w:val="1"/>
        </w:numPr>
        <w:rPr>
          <w:rFonts w:cs="Arial"/>
          <w:szCs w:val="20"/>
        </w:rPr>
      </w:pPr>
      <w:r w:rsidRPr="002D1336">
        <w:rPr>
          <w:rFonts w:cs="Arial"/>
          <w:szCs w:val="20"/>
        </w:rPr>
        <w:t xml:space="preserve">Security personnel and designees appointed by the Incident Commander, Senior Administration, Administrator on Call, Nursing Supervisor, or Emergency Department Charge Nurse will be assigned to this area.  </w:t>
      </w:r>
    </w:p>
    <w:p w:rsidR="00B052DE" w:rsidRDefault="00B052DE" w:rsidP="00B052DE">
      <w:pPr>
        <w:pStyle w:val="ListParagraph"/>
        <w:numPr>
          <w:ilvl w:val="1"/>
          <w:numId w:val="1"/>
        </w:numPr>
        <w:rPr>
          <w:rFonts w:cs="Arial"/>
          <w:szCs w:val="20"/>
        </w:rPr>
      </w:pPr>
      <w:r w:rsidRPr="002D1336">
        <w:rPr>
          <w:rFonts w:cs="Arial"/>
          <w:szCs w:val="20"/>
        </w:rPr>
        <w:t>The Senior Administrator on location, Incident Commander, Administrator on Call, Nursing Supervisor or Emergency Room Charge Nurse would decide when to lockdown the Emergency Department</w:t>
      </w:r>
      <w:r>
        <w:rPr>
          <w:rFonts w:cs="Arial"/>
          <w:szCs w:val="20"/>
        </w:rPr>
        <w:t>.</w:t>
      </w:r>
    </w:p>
    <w:p w:rsidR="00B052DE" w:rsidRPr="002D1336" w:rsidRDefault="00B052DE" w:rsidP="00B052DE">
      <w:pPr>
        <w:pStyle w:val="ListParagraph"/>
        <w:rPr>
          <w:rFonts w:cs="Arial"/>
          <w:szCs w:val="20"/>
        </w:rPr>
      </w:pPr>
    </w:p>
    <w:p w:rsidR="00B052DE" w:rsidRDefault="00B052DE" w:rsidP="00B052DE">
      <w:pPr>
        <w:tabs>
          <w:tab w:val="left" w:pos="1800"/>
          <w:tab w:val="left" w:pos="2880"/>
          <w:tab w:val="left" w:pos="3060"/>
          <w:tab w:val="left" w:pos="3240"/>
          <w:tab w:val="left" w:pos="3420"/>
          <w:tab w:val="left" w:pos="3780"/>
          <w:tab w:val="left" w:pos="4590"/>
          <w:tab w:val="left" w:pos="4770"/>
        </w:tabs>
        <w:jc w:val="both"/>
        <w:rPr>
          <w:b/>
        </w:rPr>
      </w:pPr>
      <w:r>
        <w:rPr>
          <w:b/>
        </w:rPr>
        <w:t>REFERENCES AND SOURCES OF EVIDENCE:</w:t>
      </w:r>
    </w:p>
    <w:p w:rsidR="00B052DE" w:rsidRDefault="00B052DE" w:rsidP="00B052DE">
      <w:pPr>
        <w:pStyle w:val="indent"/>
        <w:spacing w:before="0" w:beforeAutospacing="0" w:after="0" w:afterAutospacing="0"/>
        <w:rPr>
          <w:rFonts w:ascii="Arial" w:hAnsi="Arial" w:cs="Arial"/>
          <w:sz w:val="20"/>
          <w:szCs w:val="20"/>
        </w:rPr>
      </w:pPr>
    </w:p>
    <w:p w:rsidR="00B052DE" w:rsidRDefault="00B052DE" w:rsidP="00B052DE">
      <w:pPr>
        <w:pStyle w:val="indent"/>
        <w:spacing w:before="0" w:beforeAutospacing="0" w:after="0" w:afterAutospacing="0"/>
        <w:rPr>
          <w:rFonts w:ascii="Arial" w:hAnsi="Arial" w:cs="Arial"/>
          <w:sz w:val="20"/>
          <w:szCs w:val="20"/>
        </w:rPr>
      </w:pPr>
      <w:proofErr w:type="gramStart"/>
      <w:r>
        <w:rPr>
          <w:rFonts w:ascii="Arial" w:hAnsi="Arial" w:cs="Arial"/>
          <w:sz w:val="20"/>
          <w:szCs w:val="20"/>
        </w:rPr>
        <w:t>Colling, R.L., &amp; York, T.W. (2010).</w:t>
      </w:r>
      <w:proofErr w:type="gramEnd"/>
      <w:r>
        <w:rPr>
          <w:rFonts w:ascii="Arial" w:hAnsi="Arial" w:cs="Arial"/>
          <w:sz w:val="20"/>
          <w:szCs w:val="20"/>
        </w:rPr>
        <w:t xml:space="preserve"> </w:t>
      </w:r>
      <w:r>
        <w:rPr>
          <w:rStyle w:val="Emphasis"/>
          <w:rFonts w:cs="Arial"/>
        </w:rPr>
        <w:t>Hospital and Healthcare Security</w:t>
      </w:r>
      <w:r>
        <w:rPr>
          <w:rFonts w:ascii="Arial" w:hAnsi="Arial" w:cs="Arial"/>
          <w:sz w:val="20"/>
          <w:szCs w:val="20"/>
        </w:rPr>
        <w:t xml:space="preserve"> (5th </w:t>
      </w:r>
      <w:proofErr w:type="gramStart"/>
      <w:r>
        <w:rPr>
          <w:rFonts w:ascii="Arial" w:hAnsi="Arial" w:cs="Arial"/>
          <w:sz w:val="20"/>
          <w:szCs w:val="20"/>
        </w:rPr>
        <w:t>ed</w:t>
      </w:r>
      <w:proofErr w:type="gramEnd"/>
      <w:r>
        <w:rPr>
          <w:rFonts w:ascii="Arial" w:hAnsi="Arial" w:cs="Arial"/>
          <w:sz w:val="20"/>
          <w:szCs w:val="20"/>
        </w:rPr>
        <w:t>.). Boston, MA: Elsevier.</w:t>
      </w:r>
    </w:p>
    <w:p w:rsidR="00B052DE" w:rsidRDefault="00B052DE" w:rsidP="00B052DE">
      <w:pPr>
        <w:pStyle w:val="indent"/>
        <w:spacing w:before="0" w:beforeAutospacing="0" w:after="0" w:afterAutospacing="0"/>
        <w:rPr>
          <w:rFonts w:ascii="Arial" w:hAnsi="Arial" w:cs="Arial"/>
          <w:sz w:val="20"/>
          <w:szCs w:val="20"/>
        </w:rPr>
      </w:pPr>
    </w:p>
    <w:p w:rsidR="00B052DE" w:rsidRDefault="00B052DE" w:rsidP="00B052DE">
      <w:pPr>
        <w:spacing w:line="360" w:lineRule="auto"/>
      </w:pPr>
      <w:proofErr w:type="gramStart"/>
      <w:r>
        <w:t>Hospital Administration.</w:t>
      </w:r>
      <w:proofErr w:type="gramEnd"/>
      <w:r>
        <w:t> </w:t>
      </w:r>
      <w:proofErr w:type="gramStart"/>
      <w:r>
        <w:t>(n.d.).</w:t>
      </w:r>
      <w:proofErr w:type="gramEnd"/>
      <w:r>
        <w:t> </w:t>
      </w:r>
      <w:r>
        <w:rPr>
          <w:i/>
          <w:iCs/>
        </w:rPr>
        <w:t xml:space="preserve">Is it illegal to lock down a public </w:t>
      </w:r>
      <w:proofErr w:type="gramStart"/>
      <w:r>
        <w:rPr>
          <w:i/>
          <w:iCs/>
        </w:rPr>
        <w:t>building</w:t>
      </w:r>
      <w:r>
        <w:t>.</w:t>
      </w:r>
      <w:proofErr w:type="gramEnd"/>
      <w:r>
        <w:t xml:space="preserve"> Retrieved from </w:t>
      </w:r>
      <w:r>
        <w:tab/>
      </w:r>
      <w:hyperlink r:id="rId8" w:history="1">
        <w:r w:rsidRPr="00873DAC">
          <w:rPr>
            <w:rStyle w:val="Hyperlink"/>
          </w:rPr>
          <w:t>http://www.hbpphosp.com/5/is-it-illegal-to-lock-down-a-public-building</w:t>
        </w:r>
      </w:hyperlink>
    </w:p>
    <w:p w:rsidR="00B052DE" w:rsidRDefault="00B052DE" w:rsidP="00B052DE">
      <w:pPr>
        <w:spacing w:line="480" w:lineRule="auto"/>
      </w:pPr>
      <w:r>
        <w:t xml:space="preserve">Hospital Lockdown: A framework for NHSSotland Strategic Guidance for NHSScotland. </w:t>
      </w:r>
    </w:p>
    <w:p w:rsidR="00B052DE" w:rsidRDefault="00B052DE" w:rsidP="00B052DE">
      <w:pPr>
        <w:spacing w:line="480" w:lineRule="auto"/>
      </w:pPr>
      <w:r>
        <w:t xml:space="preserve">        Version 1: June (2010).  Health Facilities Scotland, a Division of NHS National Services</w:t>
      </w:r>
    </w:p>
    <w:p w:rsidR="00B052DE" w:rsidRDefault="00B052DE" w:rsidP="00B052DE">
      <w:pPr>
        <w:spacing w:line="480" w:lineRule="auto"/>
      </w:pPr>
      <w:r>
        <w:t xml:space="preserve">         Scotland</w:t>
      </w:r>
    </w:p>
    <w:p w:rsidR="00B052DE" w:rsidRDefault="00B052DE" w:rsidP="00B052DE">
      <w:pPr>
        <w:spacing w:line="480" w:lineRule="auto"/>
      </w:pPr>
      <w:r>
        <w:t>Sheehan, K. (2009, October 24). </w:t>
      </w:r>
      <w:proofErr w:type="gramStart"/>
      <w:r>
        <w:rPr>
          <w:rStyle w:val="Emphasis"/>
        </w:rPr>
        <w:t>Procedure and Policy for Hospital Lockdown</w:t>
      </w:r>
      <w:r>
        <w:t>.</w:t>
      </w:r>
      <w:proofErr w:type="gramEnd"/>
      <w:r>
        <w:t> Retrieved from</w:t>
      </w:r>
    </w:p>
    <w:p w:rsidR="00B052DE" w:rsidRDefault="00B052DE" w:rsidP="00B052DE">
      <w:pPr>
        <w:spacing w:line="480" w:lineRule="auto"/>
      </w:pPr>
      <w:r>
        <w:lastRenderedPageBreak/>
        <w:t xml:space="preserve">           </w:t>
      </w:r>
      <w:hyperlink r:id="rId9" w:history="1">
        <w:r w:rsidRPr="00873DAC">
          <w:rPr>
            <w:rStyle w:val="Hyperlink"/>
          </w:rPr>
          <w:t>http://www.ehow.com/facts_5565992_procedure-policy-hospital-lockdown.html</w:t>
        </w:r>
      </w:hyperlink>
    </w:p>
    <w:p w:rsidR="00B052DE" w:rsidRDefault="00B052DE" w:rsidP="00B052DE">
      <w:pPr>
        <w:pStyle w:val="BodyText"/>
      </w:pPr>
    </w:p>
    <w:p w:rsidR="00B052DE" w:rsidRDefault="00B052DE" w:rsidP="00B052DE">
      <w:pPr>
        <w:pStyle w:val="BodyText"/>
      </w:pPr>
    </w:p>
    <w:p w:rsidR="00B052DE" w:rsidRDefault="00B052DE" w:rsidP="00B052DE">
      <w:pPr>
        <w:pStyle w:val="BodyText"/>
      </w:pPr>
    </w:p>
    <w:p w:rsidR="00B052DE" w:rsidRDefault="00B052DE" w:rsidP="00B052DE">
      <w:pPr>
        <w:rPr>
          <w:b/>
        </w:rPr>
      </w:pPr>
      <w:r>
        <w:rPr>
          <w:b/>
        </w:rPr>
        <w:t>POLICY VIOLATION</w:t>
      </w:r>
    </w:p>
    <w:p w:rsidR="00B052DE" w:rsidRDefault="00B052DE" w:rsidP="00B052DE">
      <w:r>
        <w:t>Any Centura associate who fails to abide by this policy may be subject to disciplinary action, including termination.</w:t>
      </w:r>
    </w:p>
    <w:p w:rsidR="00B052DE" w:rsidRDefault="00B052DE" w:rsidP="00B052DE"/>
    <w:p w:rsidR="00B052DE" w:rsidRDefault="00B052DE" w:rsidP="00B052DE">
      <w:pPr>
        <w:pStyle w:val="BodyText"/>
        <w:rPr>
          <w:sz w:val="16"/>
          <w:szCs w:val="16"/>
        </w:rPr>
      </w:pPr>
      <w:r>
        <w:rPr>
          <w:sz w:val="16"/>
          <w:szCs w:val="16"/>
        </w:rPr>
        <w:t>Last reviewed by Kate McCord, CNO</w:t>
      </w:r>
    </w:p>
    <w:p w:rsidR="00B052DE" w:rsidRDefault="00B052DE" w:rsidP="00B052DE">
      <w:pPr>
        <w:rPr>
          <w:b/>
        </w:rPr>
      </w:pP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B052DE" w:rsidTr="003E6300">
        <w:tc>
          <w:tcPr>
            <w:tcW w:w="5400" w:type="dxa"/>
          </w:tcPr>
          <w:p w:rsidR="00B052DE" w:rsidRDefault="00B052DE" w:rsidP="003E6300">
            <w:pPr>
              <w:rPr>
                <w:b/>
                <w:bCs/>
              </w:rPr>
            </w:pPr>
            <w:r>
              <w:rPr>
                <w:b/>
                <w:bCs/>
                <w:sz w:val="22"/>
                <w:szCs w:val="22"/>
              </w:rPr>
              <w:t>Approval Body:  Interdisciplinary Practice Committee</w:t>
            </w:r>
          </w:p>
          <w:p w:rsidR="00B052DE" w:rsidRDefault="00B052DE" w:rsidP="003E6300">
            <w:pPr>
              <w:rPr>
                <w:b/>
                <w:bCs/>
              </w:rPr>
            </w:pPr>
          </w:p>
        </w:tc>
        <w:tc>
          <w:tcPr>
            <w:tcW w:w="5400" w:type="dxa"/>
          </w:tcPr>
          <w:p w:rsidR="00B052DE" w:rsidRDefault="00B052DE" w:rsidP="003E6300">
            <w:pPr>
              <w:rPr>
                <w:b/>
                <w:bCs/>
              </w:rPr>
            </w:pPr>
            <w:r>
              <w:rPr>
                <w:b/>
                <w:bCs/>
                <w:sz w:val="22"/>
                <w:szCs w:val="22"/>
              </w:rPr>
              <w:t>Signature/Date:</w:t>
            </w:r>
          </w:p>
          <w:p w:rsidR="00B052DE" w:rsidRDefault="00B052DE" w:rsidP="003E6300">
            <w:pPr>
              <w:rPr>
                <w:b/>
                <w:bCs/>
              </w:rPr>
            </w:pPr>
          </w:p>
          <w:p w:rsidR="00B052DE" w:rsidRPr="009612E6" w:rsidRDefault="00B052DE" w:rsidP="003E6300">
            <w:pPr>
              <w:rPr>
                <w:bCs/>
              </w:rPr>
            </w:pPr>
            <w:r w:rsidRPr="009612E6">
              <w:rPr>
                <w:bCs/>
              </w:rPr>
              <w:t>Katherine D McCord, RN, CNO                  5/30/12</w:t>
            </w:r>
          </w:p>
        </w:tc>
      </w:tr>
      <w:tr w:rsidR="00B052DE" w:rsidTr="003E6300">
        <w:tc>
          <w:tcPr>
            <w:tcW w:w="5400" w:type="dxa"/>
          </w:tcPr>
          <w:p w:rsidR="00B052DE" w:rsidRDefault="00B052DE" w:rsidP="003E6300">
            <w:pPr>
              <w:rPr>
                <w:b/>
                <w:bCs/>
              </w:rPr>
            </w:pPr>
            <w:r>
              <w:rPr>
                <w:b/>
                <w:bCs/>
                <w:sz w:val="22"/>
                <w:szCs w:val="22"/>
              </w:rPr>
              <w:t>Secondary Approval Body:</w:t>
            </w:r>
          </w:p>
          <w:p w:rsidR="00B052DE" w:rsidRDefault="00B052DE" w:rsidP="003E6300">
            <w:pPr>
              <w:rPr>
                <w:bCs/>
                <w:i/>
                <w:sz w:val="18"/>
                <w:szCs w:val="18"/>
              </w:rPr>
            </w:pPr>
            <w:r>
              <w:rPr>
                <w:bCs/>
                <w:i/>
                <w:sz w:val="18"/>
                <w:szCs w:val="18"/>
              </w:rPr>
              <w:t>(If applicable)</w:t>
            </w:r>
          </w:p>
        </w:tc>
        <w:tc>
          <w:tcPr>
            <w:tcW w:w="5400" w:type="dxa"/>
          </w:tcPr>
          <w:p w:rsidR="00B052DE" w:rsidRDefault="00B052DE" w:rsidP="003E6300">
            <w:pPr>
              <w:jc w:val="both"/>
              <w:rPr>
                <w:b/>
                <w:bCs/>
              </w:rPr>
            </w:pPr>
            <w:r>
              <w:rPr>
                <w:b/>
                <w:bCs/>
                <w:sz w:val="22"/>
                <w:szCs w:val="22"/>
              </w:rPr>
              <w:t>Signature/Date:</w:t>
            </w:r>
          </w:p>
          <w:p w:rsidR="00B052DE" w:rsidRDefault="00B052DE" w:rsidP="003E6300">
            <w:pPr>
              <w:jc w:val="both"/>
              <w:rPr>
                <w:b/>
                <w:bCs/>
              </w:rPr>
            </w:pPr>
          </w:p>
          <w:p w:rsidR="00B052DE" w:rsidRPr="009612E6" w:rsidRDefault="00B052DE" w:rsidP="003E6300">
            <w:pPr>
              <w:jc w:val="both"/>
              <w:rPr>
                <w:bCs/>
              </w:rPr>
            </w:pPr>
            <w:r w:rsidRPr="009612E6">
              <w:rPr>
                <w:bCs/>
              </w:rPr>
              <w:t xml:space="preserve">J. Oram Smith, MD, CMO                        </w:t>
            </w:r>
            <w:r>
              <w:rPr>
                <w:bCs/>
              </w:rPr>
              <w:t xml:space="preserve">  </w:t>
            </w:r>
            <w:r w:rsidRPr="009612E6">
              <w:rPr>
                <w:bCs/>
              </w:rPr>
              <w:t xml:space="preserve"> 6/4/12</w:t>
            </w:r>
          </w:p>
        </w:tc>
      </w:tr>
    </w:tbl>
    <w:p w:rsidR="00B052DE" w:rsidRDefault="00B052DE" w:rsidP="00B052DE">
      <w:pPr>
        <w:rPr>
          <w:b/>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pPr>
        <w:pStyle w:val="BodyText"/>
        <w:rPr>
          <w:sz w:val="16"/>
          <w:szCs w:val="16"/>
        </w:rPr>
      </w:pPr>
    </w:p>
    <w:p w:rsidR="00B052DE" w:rsidRDefault="00B052DE" w:rsidP="00B052DE">
      <w:r>
        <w:br w:type="page"/>
      </w:r>
    </w:p>
    <w:p w:rsidR="00B052DE" w:rsidRDefault="00B052DE" w:rsidP="00B052DE">
      <w:pPr>
        <w:sectPr w:rsidR="00B052DE" w:rsidSect="003E6300">
          <w:headerReference w:type="default" r:id="rId10"/>
          <w:footerReference w:type="default" r:id="rId11"/>
          <w:pgSz w:w="12240" w:h="15840"/>
          <w:pgMar w:top="1260" w:right="1440" w:bottom="1080" w:left="1440" w:header="720" w:footer="720" w:gutter="0"/>
          <w:cols w:space="720"/>
          <w:docGrid w:linePitch="360"/>
        </w:sectPr>
      </w:pPr>
    </w:p>
    <w:tbl>
      <w:tblPr>
        <w:tblW w:w="1525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4"/>
        <w:gridCol w:w="3121"/>
        <w:gridCol w:w="2729"/>
        <w:gridCol w:w="3098"/>
        <w:gridCol w:w="2015"/>
        <w:gridCol w:w="2349"/>
      </w:tblGrid>
      <w:tr w:rsidR="00B052DE" w:rsidTr="00B052DE">
        <w:trPr>
          <w:tblHeader/>
        </w:trPr>
        <w:tc>
          <w:tcPr>
            <w:tcW w:w="15256" w:type="dxa"/>
            <w:gridSpan w:val="6"/>
          </w:tcPr>
          <w:p w:rsidR="00B052DE" w:rsidRPr="00B052DE" w:rsidRDefault="00B052DE" w:rsidP="00B052DE">
            <w:pPr>
              <w:jc w:val="center"/>
              <w:rPr>
                <w:rFonts w:cs="Arial"/>
                <w:b/>
              </w:rPr>
            </w:pPr>
            <w:r>
              <w:lastRenderedPageBreak/>
              <w:br w:type="page"/>
            </w:r>
          </w:p>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3060"/>
              <w:gridCol w:w="2880"/>
              <w:gridCol w:w="3150"/>
              <w:gridCol w:w="2340"/>
              <w:gridCol w:w="2070"/>
            </w:tblGrid>
            <w:tr w:rsidR="00B052DE" w:rsidTr="00B052DE">
              <w:trPr>
                <w:tblHeader/>
              </w:trPr>
              <w:tc>
                <w:tcPr>
                  <w:tcW w:w="15030" w:type="dxa"/>
                  <w:gridSpan w:val="6"/>
                </w:tcPr>
                <w:p w:rsidR="00B052DE" w:rsidRPr="00B052DE" w:rsidRDefault="00B052DE" w:rsidP="00B052DE">
                  <w:pPr>
                    <w:jc w:val="center"/>
                    <w:rPr>
                      <w:rFonts w:cs="Arial"/>
                      <w:b/>
                    </w:rPr>
                  </w:pPr>
                  <w:r>
                    <w:br w:type="page"/>
                  </w:r>
                  <w:r w:rsidRPr="00B052DE">
                    <w:rPr>
                      <w:rFonts w:cs="Arial"/>
                      <w:b/>
                    </w:rPr>
                    <w:t>AREA RESPONSIBILITIES</w:t>
                  </w:r>
                </w:p>
              </w:tc>
            </w:tr>
            <w:tr w:rsidR="00B052DE" w:rsidTr="00B052DE">
              <w:trPr>
                <w:tblHeader/>
              </w:trPr>
              <w:tc>
                <w:tcPr>
                  <w:tcW w:w="1530" w:type="dxa"/>
                </w:tcPr>
                <w:p w:rsidR="00B052DE" w:rsidRPr="00B052DE" w:rsidRDefault="00B052DE" w:rsidP="00B052DE">
                  <w:pPr>
                    <w:jc w:val="center"/>
                    <w:rPr>
                      <w:rFonts w:cs="Arial"/>
                      <w:b/>
                      <w:sz w:val="18"/>
                      <w:szCs w:val="18"/>
                    </w:rPr>
                  </w:pPr>
                  <w:r w:rsidRPr="00B052DE">
                    <w:rPr>
                      <w:rFonts w:cs="Arial"/>
                      <w:b/>
                      <w:sz w:val="18"/>
                      <w:szCs w:val="18"/>
                    </w:rPr>
                    <w:t>Event</w:t>
                  </w:r>
                </w:p>
              </w:tc>
              <w:tc>
                <w:tcPr>
                  <w:tcW w:w="3060" w:type="dxa"/>
                </w:tcPr>
                <w:p w:rsidR="00B052DE" w:rsidRPr="00B052DE" w:rsidRDefault="00B052DE" w:rsidP="00B052DE">
                  <w:pPr>
                    <w:jc w:val="center"/>
                    <w:rPr>
                      <w:rFonts w:cs="Arial"/>
                      <w:b/>
                      <w:sz w:val="18"/>
                      <w:szCs w:val="18"/>
                    </w:rPr>
                  </w:pPr>
                  <w:r w:rsidRPr="00B052DE">
                    <w:rPr>
                      <w:rFonts w:cs="Arial"/>
                      <w:b/>
                      <w:sz w:val="18"/>
                      <w:szCs w:val="18"/>
                    </w:rPr>
                    <w:t>Incident Commander, Senior Administrator on Location, Administrator on Call, or Nursing Supervisor (NOTE:  ED Charge Nurse can authorize ED Lockdown)</w:t>
                  </w:r>
                </w:p>
              </w:tc>
              <w:tc>
                <w:tcPr>
                  <w:tcW w:w="2880" w:type="dxa"/>
                </w:tcPr>
                <w:p w:rsidR="00B052DE" w:rsidRPr="00B052DE" w:rsidRDefault="00B052DE" w:rsidP="00B052DE">
                  <w:pPr>
                    <w:jc w:val="center"/>
                    <w:rPr>
                      <w:rFonts w:cs="Arial"/>
                      <w:b/>
                      <w:sz w:val="18"/>
                      <w:szCs w:val="18"/>
                    </w:rPr>
                  </w:pPr>
                  <w:smartTag w:uri="urn:schemas-microsoft-com:office:smarttags" w:element="place">
                    <w:smartTag w:uri="urn:schemas-microsoft-com:office:smarttags" w:element="PlaceName">
                      <w:r w:rsidRPr="00B052DE">
                        <w:rPr>
                          <w:rFonts w:cs="Arial"/>
                          <w:b/>
                          <w:sz w:val="18"/>
                          <w:szCs w:val="18"/>
                        </w:rPr>
                        <w:t>Operations</w:t>
                      </w:r>
                    </w:smartTag>
                    <w:r w:rsidRPr="00B052DE">
                      <w:rPr>
                        <w:rFonts w:cs="Arial"/>
                        <w:b/>
                        <w:sz w:val="18"/>
                        <w:szCs w:val="18"/>
                      </w:rPr>
                      <w:t xml:space="preserve"> </w:t>
                    </w:r>
                    <w:smartTag w:uri="urn:schemas-microsoft-com:office:smarttags" w:element="PlaceType">
                      <w:r w:rsidRPr="00B052DE">
                        <w:rPr>
                          <w:rFonts w:cs="Arial"/>
                          <w:b/>
                          <w:sz w:val="18"/>
                          <w:szCs w:val="18"/>
                        </w:rPr>
                        <w:t>Center</w:t>
                      </w:r>
                    </w:smartTag>
                  </w:smartTag>
                </w:p>
              </w:tc>
              <w:tc>
                <w:tcPr>
                  <w:tcW w:w="3150" w:type="dxa"/>
                </w:tcPr>
                <w:p w:rsidR="00B052DE" w:rsidRPr="00B052DE" w:rsidRDefault="00B052DE" w:rsidP="00B052DE">
                  <w:pPr>
                    <w:jc w:val="center"/>
                    <w:rPr>
                      <w:rFonts w:cs="Arial"/>
                      <w:b/>
                      <w:sz w:val="18"/>
                      <w:szCs w:val="18"/>
                    </w:rPr>
                  </w:pPr>
                  <w:r w:rsidRPr="00B052DE">
                    <w:rPr>
                      <w:rFonts w:cs="Arial"/>
                      <w:b/>
                      <w:sz w:val="18"/>
                      <w:szCs w:val="18"/>
                    </w:rPr>
                    <w:t>Security</w:t>
                  </w:r>
                </w:p>
              </w:tc>
              <w:tc>
                <w:tcPr>
                  <w:tcW w:w="2340" w:type="dxa"/>
                </w:tcPr>
                <w:p w:rsidR="00B052DE" w:rsidRPr="00B052DE" w:rsidRDefault="00B052DE" w:rsidP="00B052DE">
                  <w:pPr>
                    <w:jc w:val="center"/>
                    <w:rPr>
                      <w:rFonts w:cs="Arial"/>
                      <w:b/>
                      <w:sz w:val="18"/>
                      <w:szCs w:val="18"/>
                    </w:rPr>
                  </w:pPr>
                  <w:r w:rsidRPr="00B052DE">
                    <w:rPr>
                      <w:rFonts w:cs="Arial"/>
                      <w:b/>
                      <w:sz w:val="18"/>
                      <w:szCs w:val="18"/>
                    </w:rPr>
                    <w:t>Unit Nursing / Associates</w:t>
                  </w:r>
                </w:p>
              </w:tc>
              <w:tc>
                <w:tcPr>
                  <w:tcW w:w="2070" w:type="dxa"/>
                </w:tcPr>
                <w:p w:rsidR="00B052DE" w:rsidRPr="00B052DE" w:rsidRDefault="00B052DE" w:rsidP="00B052DE">
                  <w:pPr>
                    <w:jc w:val="center"/>
                    <w:rPr>
                      <w:rFonts w:cs="Arial"/>
                      <w:b/>
                      <w:sz w:val="18"/>
                      <w:szCs w:val="18"/>
                    </w:rPr>
                  </w:pPr>
                  <w:r w:rsidRPr="00B052DE">
                    <w:rPr>
                      <w:rFonts w:cs="Arial"/>
                      <w:b/>
                      <w:sz w:val="18"/>
                      <w:szCs w:val="18"/>
                    </w:rPr>
                    <w:t>All PSFHS Associates</w:t>
                  </w:r>
                </w:p>
              </w:tc>
            </w:tr>
            <w:tr w:rsidR="00B052DE" w:rsidTr="00B052DE">
              <w:trPr>
                <w:trHeight w:val="5462"/>
              </w:trPr>
              <w:tc>
                <w:tcPr>
                  <w:tcW w:w="1530" w:type="dxa"/>
                </w:tcPr>
                <w:p w:rsidR="00B052DE" w:rsidRPr="00B052DE" w:rsidRDefault="00B052DE" w:rsidP="003E6300">
                  <w:pPr>
                    <w:rPr>
                      <w:rFonts w:cs="Arial"/>
                      <w:b/>
                      <w:szCs w:val="20"/>
                    </w:rPr>
                  </w:pPr>
                  <w:r w:rsidRPr="00B052DE">
                    <w:rPr>
                      <w:rFonts w:cs="Arial"/>
                      <w:b/>
                      <w:szCs w:val="20"/>
                    </w:rPr>
                    <w:t>Total Lockdown</w:t>
                  </w:r>
                </w:p>
              </w:tc>
              <w:tc>
                <w:tcPr>
                  <w:tcW w:w="3060" w:type="dxa"/>
                </w:tcPr>
                <w:p w:rsidR="00B052DE" w:rsidRPr="00B052DE" w:rsidRDefault="00B052DE" w:rsidP="00B052DE">
                  <w:pPr>
                    <w:numPr>
                      <w:ilvl w:val="0"/>
                      <w:numId w:val="3"/>
                    </w:numPr>
                    <w:tabs>
                      <w:tab w:val="clear" w:pos="483"/>
                      <w:tab w:val="num" w:pos="231"/>
                      <w:tab w:val="num" w:pos="360"/>
                    </w:tabs>
                    <w:spacing w:before="120"/>
                    <w:ind w:left="245" w:hanging="187"/>
                    <w:rPr>
                      <w:rFonts w:cs="Arial"/>
                      <w:sz w:val="18"/>
                      <w:szCs w:val="18"/>
                    </w:rPr>
                  </w:pPr>
                  <w:r w:rsidRPr="00B052DE">
                    <w:rPr>
                      <w:rFonts w:cs="Arial"/>
                      <w:sz w:val="18"/>
                      <w:szCs w:val="18"/>
                    </w:rPr>
                    <w:t xml:space="preserve">Notify the Operations Center and Security to activate a Code Silver.  </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Call “911” or delegate someone to call “911” to notify local agencies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Determine if traffic access needs to be controlled.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Appoint a PSF associate to oversee the area designated as the “holding” area for outpatients and visitors.  NOTE:  Each person in this area will receive a nametag with the following information:  clinic they were visiting and date.</w:t>
                  </w:r>
                </w:p>
              </w:tc>
              <w:tc>
                <w:tcPr>
                  <w:tcW w:w="288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 xml:space="preserve">Announce overhead “Code Silver” and the applicable location (if necessary).  Example:  “Code Silver,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All Clear” when given the direction by the Incident Commander, Senior Administrator on Location, Administrator on Call, or Nursing Supervisor.</w:t>
                  </w:r>
                </w:p>
              </w:tc>
              <w:tc>
                <w:tcPr>
                  <w:tcW w:w="315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Limit traffic access by using chains and/or barricades to limit vehicular access, if directed.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Provide a recommendation to the designated PSF leadership on which entrances/exits should be controlled.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Direct other designated individual or post Code Silver sign at the main entrance.</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are responsible for securing all lockable exits and entrances in a systematic manner</w:t>
                  </w:r>
                </w:p>
              </w:tc>
              <w:tc>
                <w:tcPr>
                  <w:tcW w:w="234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Provide nametags to guests who are visiting in-patients.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Request visitors remain in the room with the patient until further direction has been given.</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Other visitors and those patients being seen in an outpatient clinic (i.e. blood bank, etc.) will be given directions on where to congregate until further direction has been given.</w:t>
                  </w:r>
                </w:p>
                <w:p w:rsidR="00B052DE" w:rsidRPr="00B052DE" w:rsidRDefault="00B052DE" w:rsidP="003E6300">
                  <w:pPr>
                    <w:rPr>
                      <w:rFonts w:cs="Arial"/>
                      <w:sz w:val="18"/>
                      <w:szCs w:val="18"/>
                    </w:rPr>
                  </w:pPr>
                </w:p>
              </w:tc>
              <w:tc>
                <w:tcPr>
                  <w:tcW w:w="207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Wear nametags identifying them as associates.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w:t>
                  </w:r>
                </w:p>
              </w:tc>
            </w:tr>
          </w:tbl>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3060"/>
              <w:gridCol w:w="2880"/>
              <w:gridCol w:w="3150"/>
              <w:gridCol w:w="2340"/>
              <w:gridCol w:w="2070"/>
            </w:tblGrid>
            <w:tr w:rsidR="00B052DE" w:rsidTr="00B052DE">
              <w:trPr>
                <w:tblHeader/>
              </w:trPr>
              <w:tc>
                <w:tcPr>
                  <w:tcW w:w="15030" w:type="dxa"/>
                  <w:gridSpan w:val="6"/>
                </w:tcPr>
                <w:p w:rsidR="00B052DE" w:rsidRPr="00B052DE" w:rsidRDefault="00B052DE" w:rsidP="00B052DE">
                  <w:pPr>
                    <w:jc w:val="center"/>
                    <w:rPr>
                      <w:rFonts w:cs="Arial"/>
                      <w:b/>
                    </w:rPr>
                  </w:pPr>
                  <w:r>
                    <w:br w:type="page"/>
                  </w:r>
                  <w:r w:rsidRPr="00B052DE">
                    <w:rPr>
                      <w:rFonts w:cs="Arial"/>
                      <w:b/>
                    </w:rPr>
                    <w:t>AREA RESPONSIBILITIES</w:t>
                  </w:r>
                </w:p>
              </w:tc>
            </w:tr>
            <w:tr w:rsidR="00B052DE" w:rsidTr="00B052DE">
              <w:trPr>
                <w:tblHeader/>
              </w:trPr>
              <w:tc>
                <w:tcPr>
                  <w:tcW w:w="1530" w:type="dxa"/>
                </w:tcPr>
                <w:p w:rsidR="00B052DE" w:rsidRPr="00B052DE" w:rsidRDefault="00B052DE" w:rsidP="00B052DE">
                  <w:pPr>
                    <w:jc w:val="center"/>
                    <w:rPr>
                      <w:rFonts w:cs="Arial"/>
                      <w:b/>
                      <w:sz w:val="18"/>
                      <w:szCs w:val="18"/>
                    </w:rPr>
                  </w:pPr>
                  <w:r w:rsidRPr="00B052DE">
                    <w:rPr>
                      <w:rFonts w:cs="Arial"/>
                      <w:b/>
                      <w:sz w:val="18"/>
                      <w:szCs w:val="18"/>
                    </w:rPr>
                    <w:t>Event</w:t>
                  </w:r>
                </w:p>
              </w:tc>
              <w:tc>
                <w:tcPr>
                  <w:tcW w:w="3060" w:type="dxa"/>
                </w:tcPr>
                <w:p w:rsidR="00B052DE" w:rsidRPr="00B052DE" w:rsidRDefault="00B052DE" w:rsidP="00B052DE">
                  <w:pPr>
                    <w:jc w:val="center"/>
                    <w:rPr>
                      <w:rFonts w:cs="Arial"/>
                      <w:b/>
                      <w:sz w:val="18"/>
                      <w:szCs w:val="18"/>
                    </w:rPr>
                  </w:pPr>
                  <w:r w:rsidRPr="00B052DE">
                    <w:rPr>
                      <w:rFonts w:cs="Arial"/>
                      <w:b/>
                      <w:sz w:val="18"/>
                      <w:szCs w:val="18"/>
                    </w:rPr>
                    <w:t>Incident Commander, Senior Administrator on Location, Administrator on Call, or Nursing Supervisor (NOTE:  ED Charge Nurse can authorize ED Lockdown)</w:t>
                  </w:r>
                </w:p>
              </w:tc>
              <w:tc>
                <w:tcPr>
                  <w:tcW w:w="2880" w:type="dxa"/>
                </w:tcPr>
                <w:p w:rsidR="00B052DE" w:rsidRPr="00B052DE" w:rsidRDefault="00B052DE" w:rsidP="00B052DE">
                  <w:pPr>
                    <w:jc w:val="center"/>
                    <w:rPr>
                      <w:rFonts w:cs="Arial"/>
                      <w:b/>
                      <w:sz w:val="18"/>
                      <w:szCs w:val="18"/>
                    </w:rPr>
                  </w:pPr>
                  <w:smartTag w:uri="urn:schemas-microsoft-com:office:smarttags" w:element="place">
                    <w:smartTag w:uri="urn:schemas-microsoft-com:office:smarttags" w:element="PlaceName">
                      <w:r w:rsidRPr="00B052DE">
                        <w:rPr>
                          <w:rFonts w:cs="Arial"/>
                          <w:b/>
                          <w:sz w:val="18"/>
                          <w:szCs w:val="18"/>
                        </w:rPr>
                        <w:t>Operations</w:t>
                      </w:r>
                    </w:smartTag>
                    <w:r w:rsidRPr="00B052DE">
                      <w:rPr>
                        <w:rFonts w:cs="Arial"/>
                        <w:b/>
                        <w:sz w:val="18"/>
                        <w:szCs w:val="18"/>
                      </w:rPr>
                      <w:t xml:space="preserve"> </w:t>
                    </w:r>
                    <w:smartTag w:uri="urn:schemas-microsoft-com:office:smarttags" w:element="PlaceType">
                      <w:r w:rsidRPr="00B052DE">
                        <w:rPr>
                          <w:rFonts w:cs="Arial"/>
                          <w:b/>
                          <w:sz w:val="18"/>
                          <w:szCs w:val="18"/>
                        </w:rPr>
                        <w:t>Center</w:t>
                      </w:r>
                    </w:smartTag>
                  </w:smartTag>
                </w:p>
              </w:tc>
              <w:tc>
                <w:tcPr>
                  <w:tcW w:w="3150" w:type="dxa"/>
                </w:tcPr>
                <w:p w:rsidR="00B052DE" w:rsidRPr="00B052DE" w:rsidRDefault="00B052DE" w:rsidP="00B052DE">
                  <w:pPr>
                    <w:jc w:val="center"/>
                    <w:rPr>
                      <w:rFonts w:cs="Arial"/>
                      <w:b/>
                      <w:sz w:val="18"/>
                      <w:szCs w:val="18"/>
                    </w:rPr>
                  </w:pPr>
                  <w:r w:rsidRPr="00B052DE">
                    <w:rPr>
                      <w:rFonts w:cs="Arial"/>
                      <w:b/>
                      <w:sz w:val="18"/>
                      <w:szCs w:val="18"/>
                    </w:rPr>
                    <w:t>Security</w:t>
                  </w:r>
                </w:p>
              </w:tc>
              <w:tc>
                <w:tcPr>
                  <w:tcW w:w="2340" w:type="dxa"/>
                </w:tcPr>
                <w:p w:rsidR="00B052DE" w:rsidRPr="00B052DE" w:rsidRDefault="00B052DE" w:rsidP="00B052DE">
                  <w:pPr>
                    <w:jc w:val="center"/>
                    <w:rPr>
                      <w:rFonts w:cs="Arial"/>
                      <w:b/>
                      <w:sz w:val="18"/>
                      <w:szCs w:val="18"/>
                    </w:rPr>
                  </w:pPr>
                  <w:r w:rsidRPr="00B052DE">
                    <w:rPr>
                      <w:rFonts w:cs="Arial"/>
                      <w:b/>
                      <w:sz w:val="18"/>
                      <w:szCs w:val="18"/>
                    </w:rPr>
                    <w:t>Unit Nursing / Associates</w:t>
                  </w:r>
                </w:p>
              </w:tc>
              <w:tc>
                <w:tcPr>
                  <w:tcW w:w="2070" w:type="dxa"/>
                </w:tcPr>
                <w:p w:rsidR="00B052DE" w:rsidRPr="00B052DE" w:rsidRDefault="00B052DE" w:rsidP="00B052DE">
                  <w:pPr>
                    <w:jc w:val="center"/>
                    <w:rPr>
                      <w:rFonts w:cs="Arial"/>
                      <w:b/>
                      <w:sz w:val="18"/>
                      <w:szCs w:val="18"/>
                    </w:rPr>
                  </w:pPr>
                  <w:r w:rsidRPr="00B052DE">
                    <w:rPr>
                      <w:rFonts w:cs="Arial"/>
                      <w:b/>
                      <w:sz w:val="18"/>
                      <w:szCs w:val="18"/>
                    </w:rPr>
                    <w:t>All PSFHS Associates</w:t>
                  </w:r>
                </w:p>
              </w:tc>
            </w:tr>
            <w:tr w:rsidR="00B052DE" w:rsidTr="00B052DE">
              <w:tc>
                <w:tcPr>
                  <w:tcW w:w="1530" w:type="dxa"/>
                </w:tcPr>
                <w:p w:rsidR="00B052DE" w:rsidRPr="00B052DE" w:rsidRDefault="00B052DE" w:rsidP="003E6300">
                  <w:pPr>
                    <w:rPr>
                      <w:rFonts w:cs="Arial"/>
                      <w:b/>
                      <w:szCs w:val="20"/>
                    </w:rPr>
                  </w:pPr>
                  <w:r w:rsidRPr="00B052DE">
                    <w:rPr>
                      <w:rFonts w:cs="Arial"/>
                      <w:b/>
                      <w:szCs w:val="20"/>
                    </w:rPr>
                    <w:t>Controlled Lockdown</w:t>
                  </w:r>
                </w:p>
              </w:tc>
              <w:tc>
                <w:tcPr>
                  <w:tcW w:w="3060" w:type="dxa"/>
                </w:tcPr>
                <w:p w:rsidR="00B052DE" w:rsidRPr="00B052DE" w:rsidRDefault="00B052DE" w:rsidP="00B052DE">
                  <w:pPr>
                    <w:numPr>
                      <w:ilvl w:val="0"/>
                      <w:numId w:val="3"/>
                    </w:numPr>
                    <w:tabs>
                      <w:tab w:val="clear" w:pos="483"/>
                      <w:tab w:val="num" w:pos="231"/>
                      <w:tab w:val="num" w:pos="360"/>
                    </w:tabs>
                    <w:spacing w:before="120"/>
                    <w:ind w:left="245" w:hanging="187"/>
                    <w:rPr>
                      <w:rFonts w:cs="Arial"/>
                      <w:sz w:val="18"/>
                      <w:szCs w:val="18"/>
                    </w:rPr>
                  </w:pPr>
                  <w:r w:rsidRPr="00B052DE">
                    <w:rPr>
                      <w:rFonts w:cs="Arial"/>
                      <w:sz w:val="18"/>
                      <w:szCs w:val="18"/>
                    </w:rPr>
                    <w:t xml:space="preserve">Notify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and Security to activate a Code Silver.</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Call “911” or delegate someone to call “911” to notify local agencies</w:t>
                  </w:r>
                </w:p>
                <w:p w:rsidR="00B052DE" w:rsidRPr="00B052DE" w:rsidRDefault="00B052DE" w:rsidP="00B052DE">
                  <w:pPr>
                    <w:tabs>
                      <w:tab w:val="num" w:pos="483"/>
                    </w:tabs>
                    <w:ind w:left="51"/>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Determine if traffic access needs to be controlled.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Notify the applicable departments and inform them of the designated entry/exit location.  This can be accomplished by notifying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or any other method deemed appropriate (i.e. runners, telephone, etc.)</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Appoint a PSF associate to oversee the area designated as the “holding” area for outpatients and visitors.  NOTE:  Each person in this area will receive a nametag with the following information:  clinic they were visiting and date.</w:t>
                  </w:r>
                </w:p>
              </w:tc>
              <w:tc>
                <w:tcPr>
                  <w:tcW w:w="288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 xml:space="preserve">Announce overhead “Code Silver, Controlled Lockdown” and the applicable location (if necessary).  Example:  “Code Silver, Controlled Lockdown,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r w:rsidRPr="00B052DE">
                    <w:rPr>
                      <w:rFonts w:cs="Arial"/>
                      <w:sz w:val="18"/>
                      <w:szCs w:val="18"/>
                    </w:rPr>
                    <w: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Controlled Lockdown, All Clear” when given the direction by the Incident Commander, Senior Administrator on Location, Administrator on Call, or Nursing Supervisor.</w:t>
                  </w:r>
                </w:p>
              </w:tc>
              <w:tc>
                <w:tcPr>
                  <w:tcW w:w="315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Limit traffic access by using chains and/or barricades to limit vehicular access, if directed.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Provide a recommendation to the designated PSF leadership on which entrances/exits should be controlled.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Scan all patient(s) and visitor(s) belongings by utilizing the handheld metal detector and will require identification from anyone entering the designated entry point.</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Activation of the handheld metal detector device will require the patient/visitor to empty the contents of the bag, pockets, package, etc. onto a table for further examination. </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Direct other designated individual or post Code Silver sign at the main entrance.</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are responsible for securing all lockable exits and entrances in a systematic manner</w:t>
                  </w:r>
                </w:p>
              </w:tc>
              <w:tc>
                <w:tcPr>
                  <w:tcW w:w="234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Provide nametags to guests who are visiting in-patients.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Request visitors remain in the room with the patient until further direction has been given.</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Other visitors and those patients being seen in an outpatient clinic (i.e. blood bank, etc.) will be given directions on where to congregate until further direction has been given.</w:t>
                  </w:r>
                </w:p>
                <w:p w:rsidR="00B052DE" w:rsidRPr="00B052DE" w:rsidRDefault="00B052DE" w:rsidP="003E6300">
                  <w:pPr>
                    <w:rPr>
                      <w:rFonts w:cs="Arial"/>
                      <w:sz w:val="18"/>
                      <w:szCs w:val="18"/>
                    </w:rPr>
                  </w:pPr>
                </w:p>
              </w:tc>
              <w:tc>
                <w:tcPr>
                  <w:tcW w:w="207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Wear nametags identifying them as associates.  NOTE:  Only persons with proper identification shall be admitted to the hospital during an emergency.</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w:t>
                  </w:r>
                </w:p>
              </w:tc>
            </w:tr>
          </w:tbl>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p w:rsidR="00B052DE" w:rsidRDefault="00B052DE" w:rsidP="00B052DE"/>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3060"/>
              <w:gridCol w:w="2880"/>
              <w:gridCol w:w="3150"/>
              <w:gridCol w:w="2340"/>
              <w:gridCol w:w="2070"/>
            </w:tblGrid>
            <w:tr w:rsidR="00B052DE" w:rsidTr="00B052DE">
              <w:trPr>
                <w:tblHeader/>
              </w:trPr>
              <w:tc>
                <w:tcPr>
                  <w:tcW w:w="15030" w:type="dxa"/>
                  <w:gridSpan w:val="6"/>
                </w:tcPr>
                <w:p w:rsidR="00B052DE" w:rsidRPr="00B052DE" w:rsidRDefault="00B052DE" w:rsidP="00B052DE">
                  <w:pPr>
                    <w:jc w:val="center"/>
                    <w:rPr>
                      <w:rFonts w:cs="Arial"/>
                      <w:b/>
                    </w:rPr>
                  </w:pPr>
                  <w:r>
                    <w:br w:type="page"/>
                  </w:r>
                  <w:r w:rsidRPr="00B052DE">
                    <w:rPr>
                      <w:rFonts w:cs="Arial"/>
                      <w:b/>
                    </w:rPr>
                    <w:t>AREA RESPONSIBILITIES</w:t>
                  </w:r>
                </w:p>
              </w:tc>
            </w:tr>
            <w:tr w:rsidR="00B052DE" w:rsidTr="00B052DE">
              <w:trPr>
                <w:tblHeader/>
              </w:trPr>
              <w:tc>
                <w:tcPr>
                  <w:tcW w:w="1530" w:type="dxa"/>
                </w:tcPr>
                <w:p w:rsidR="00B052DE" w:rsidRPr="00B052DE" w:rsidRDefault="00B052DE" w:rsidP="00B052DE">
                  <w:pPr>
                    <w:jc w:val="center"/>
                    <w:rPr>
                      <w:rFonts w:cs="Arial"/>
                      <w:b/>
                      <w:sz w:val="18"/>
                      <w:szCs w:val="18"/>
                    </w:rPr>
                  </w:pPr>
                  <w:r w:rsidRPr="00B052DE">
                    <w:rPr>
                      <w:rFonts w:cs="Arial"/>
                      <w:b/>
                      <w:sz w:val="18"/>
                      <w:szCs w:val="18"/>
                    </w:rPr>
                    <w:t>Event</w:t>
                  </w:r>
                </w:p>
              </w:tc>
              <w:tc>
                <w:tcPr>
                  <w:tcW w:w="3060" w:type="dxa"/>
                </w:tcPr>
                <w:p w:rsidR="00B052DE" w:rsidRPr="00B052DE" w:rsidRDefault="00B052DE" w:rsidP="00B052DE">
                  <w:pPr>
                    <w:jc w:val="center"/>
                    <w:rPr>
                      <w:rFonts w:cs="Arial"/>
                      <w:b/>
                      <w:sz w:val="18"/>
                      <w:szCs w:val="18"/>
                    </w:rPr>
                  </w:pPr>
                  <w:r w:rsidRPr="00B052DE">
                    <w:rPr>
                      <w:rFonts w:cs="Arial"/>
                      <w:b/>
                      <w:sz w:val="18"/>
                      <w:szCs w:val="18"/>
                    </w:rPr>
                    <w:t>Incident Commander, Senior Administrator on Location, Administrator on Call, or Nursing Supervisor (NOTE:  ED Charge Nurse can authorize ED Lockdown)</w:t>
                  </w:r>
                </w:p>
              </w:tc>
              <w:tc>
                <w:tcPr>
                  <w:tcW w:w="2880" w:type="dxa"/>
                </w:tcPr>
                <w:p w:rsidR="00B052DE" w:rsidRPr="00B052DE" w:rsidRDefault="00B052DE" w:rsidP="00B052DE">
                  <w:pPr>
                    <w:jc w:val="center"/>
                    <w:rPr>
                      <w:rFonts w:cs="Arial"/>
                      <w:b/>
                      <w:sz w:val="18"/>
                      <w:szCs w:val="18"/>
                    </w:rPr>
                  </w:pPr>
                  <w:smartTag w:uri="urn:schemas-microsoft-com:office:smarttags" w:element="place">
                    <w:smartTag w:uri="urn:schemas-microsoft-com:office:smarttags" w:element="PlaceName">
                      <w:r w:rsidRPr="00B052DE">
                        <w:rPr>
                          <w:rFonts w:cs="Arial"/>
                          <w:b/>
                          <w:sz w:val="18"/>
                          <w:szCs w:val="18"/>
                        </w:rPr>
                        <w:t>Operations</w:t>
                      </w:r>
                    </w:smartTag>
                    <w:r w:rsidRPr="00B052DE">
                      <w:rPr>
                        <w:rFonts w:cs="Arial"/>
                        <w:b/>
                        <w:sz w:val="18"/>
                        <w:szCs w:val="18"/>
                      </w:rPr>
                      <w:t xml:space="preserve"> </w:t>
                    </w:r>
                    <w:smartTag w:uri="urn:schemas-microsoft-com:office:smarttags" w:element="PlaceType">
                      <w:r w:rsidRPr="00B052DE">
                        <w:rPr>
                          <w:rFonts w:cs="Arial"/>
                          <w:b/>
                          <w:sz w:val="18"/>
                          <w:szCs w:val="18"/>
                        </w:rPr>
                        <w:t>Center</w:t>
                      </w:r>
                    </w:smartTag>
                  </w:smartTag>
                </w:p>
              </w:tc>
              <w:tc>
                <w:tcPr>
                  <w:tcW w:w="3150" w:type="dxa"/>
                </w:tcPr>
                <w:p w:rsidR="00B052DE" w:rsidRPr="00B052DE" w:rsidRDefault="00B052DE" w:rsidP="00B052DE">
                  <w:pPr>
                    <w:jc w:val="center"/>
                    <w:rPr>
                      <w:rFonts w:cs="Arial"/>
                      <w:b/>
                      <w:sz w:val="18"/>
                      <w:szCs w:val="18"/>
                    </w:rPr>
                  </w:pPr>
                  <w:r w:rsidRPr="00B052DE">
                    <w:rPr>
                      <w:rFonts w:cs="Arial"/>
                      <w:b/>
                      <w:sz w:val="18"/>
                      <w:szCs w:val="18"/>
                    </w:rPr>
                    <w:t>Security</w:t>
                  </w:r>
                </w:p>
              </w:tc>
              <w:tc>
                <w:tcPr>
                  <w:tcW w:w="2340" w:type="dxa"/>
                </w:tcPr>
                <w:p w:rsidR="00B052DE" w:rsidRPr="00B052DE" w:rsidRDefault="00B052DE" w:rsidP="00B052DE">
                  <w:pPr>
                    <w:jc w:val="center"/>
                    <w:rPr>
                      <w:rFonts w:cs="Arial"/>
                      <w:b/>
                      <w:sz w:val="18"/>
                      <w:szCs w:val="18"/>
                    </w:rPr>
                  </w:pPr>
                  <w:r w:rsidRPr="00B052DE">
                    <w:rPr>
                      <w:rFonts w:cs="Arial"/>
                      <w:b/>
                      <w:sz w:val="18"/>
                      <w:szCs w:val="18"/>
                    </w:rPr>
                    <w:t>Unit Nursing / Associates</w:t>
                  </w:r>
                </w:p>
              </w:tc>
              <w:tc>
                <w:tcPr>
                  <w:tcW w:w="2070" w:type="dxa"/>
                </w:tcPr>
                <w:p w:rsidR="00B052DE" w:rsidRPr="00B052DE" w:rsidRDefault="00B052DE" w:rsidP="00B052DE">
                  <w:pPr>
                    <w:jc w:val="center"/>
                    <w:rPr>
                      <w:rFonts w:cs="Arial"/>
                      <w:b/>
                      <w:sz w:val="18"/>
                      <w:szCs w:val="18"/>
                    </w:rPr>
                  </w:pPr>
                  <w:r w:rsidRPr="00B052DE">
                    <w:rPr>
                      <w:rFonts w:cs="Arial"/>
                      <w:b/>
                      <w:sz w:val="18"/>
                      <w:szCs w:val="18"/>
                    </w:rPr>
                    <w:t>All PSFHS Associates</w:t>
                  </w:r>
                </w:p>
              </w:tc>
            </w:tr>
            <w:tr w:rsidR="00B052DE" w:rsidTr="00B052DE">
              <w:tc>
                <w:tcPr>
                  <w:tcW w:w="1530" w:type="dxa"/>
                </w:tcPr>
                <w:p w:rsidR="00B052DE" w:rsidRPr="00B052DE" w:rsidRDefault="00B052DE" w:rsidP="003E6300">
                  <w:pPr>
                    <w:rPr>
                      <w:rFonts w:cs="Arial"/>
                      <w:b/>
                      <w:szCs w:val="20"/>
                    </w:rPr>
                  </w:pPr>
                  <w:r w:rsidRPr="00B052DE">
                    <w:rPr>
                      <w:rFonts w:cs="Arial"/>
                      <w:b/>
                      <w:szCs w:val="20"/>
                    </w:rPr>
                    <w:t>Emergency Department Lockdown</w:t>
                  </w:r>
                </w:p>
              </w:tc>
              <w:tc>
                <w:tcPr>
                  <w:tcW w:w="3060" w:type="dxa"/>
                </w:tcPr>
                <w:p w:rsidR="00B052DE" w:rsidRPr="00B052DE" w:rsidRDefault="00B052DE" w:rsidP="00B052DE">
                  <w:pPr>
                    <w:numPr>
                      <w:ilvl w:val="0"/>
                      <w:numId w:val="3"/>
                    </w:numPr>
                    <w:tabs>
                      <w:tab w:val="clear" w:pos="483"/>
                      <w:tab w:val="num" w:pos="231"/>
                      <w:tab w:val="num" w:pos="360"/>
                    </w:tabs>
                    <w:spacing w:before="120"/>
                    <w:ind w:left="245" w:hanging="187"/>
                    <w:rPr>
                      <w:rFonts w:cs="Arial"/>
                      <w:sz w:val="18"/>
                      <w:szCs w:val="18"/>
                    </w:rPr>
                  </w:pPr>
                  <w:r w:rsidRPr="00B052DE">
                    <w:rPr>
                      <w:rFonts w:cs="Arial"/>
                      <w:sz w:val="18"/>
                      <w:szCs w:val="18"/>
                    </w:rPr>
                    <w:t xml:space="preserve">Notify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and Security to activate a Code Silver.</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Call “911” or delegate someone to call “911” to notify local agencies</w:t>
                  </w:r>
                </w:p>
                <w:p w:rsidR="00B052DE" w:rsidRPr="00B052DE" w:rsidRDefault="00B052DE" w:rsidP="00B052DE">
                  <w:pPr>
                    <w:tabs>
                      <w:tab w:val="num" w:pos="483"/>
                    </w:tabs>
                    <w:ind w:left="51"/>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Notify the appropriate leadership (i.e. CNO, CMO, COO, etc.), Incident Commander, Senior Administrator on Location, Administrator on Call, or Nursing Supervisor regarding Code Silver.  NOTE:  Any of these individuals can declare a “Code Silver” for the Emergency Department.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Leadership will designate an alternate location for all patients/visitors to be directed to if he/she feels the situation is so unsafe that the ED waiting room needs to be secured.</w:t>
                  </w:r>
                </w:p>
              </w:tc>
              <w:tc>
                <w:tcPr>
                  <w:tcW w:w="288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 xml:space="preserve">Announce overhead “Code Silver, Emergency Department” and the applicable location (if necessary).  Example:  “Code Silver, Emergency Department,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r w:rsidRPr="00B052DE">
                    <w:rPr>
                      <w:rFonts w:cs="Arial"/>
                      <w:sz w:val="18"/>
                      <w:szCs w:val="18"/>
                    </w:rPr>
                    <w: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Emergency Department, All Clear” when given the direction by the Incident Commander, Senior Administrator on Location, Administrator on Call, or Nursing Supervisor.</w:t>
                  </w:r>
                </w:p>
              </w:tc>
              <w:tc>
                <w:tcPr>
                  <w:tcW w:w="315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Scan all patient(s) and visitor(s) belongings by utilizing the handheld metal detector and will require identification from anyone entering the Emergency Room waiting area.</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Activation of the handheld metal detector device will require the patient/visitor to empty the contents of the bag, pockets, package, etc. onto a table for further examination. </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will secure all entrance/exit locations leading to the Emergency Department</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Officers and other appointed designees will remove all visitors from the ED treatment areas and will prevent any visitors from going into the treatment area unless otherwise directed.</w:t>
                  </w:r>
                </w:p>
                <w:p w:rsidR="00B052DE" w:rsidRPr="00B052DE" w:rsidRDefault="00B052DE" w:rsidP="003E6300">
                  <w:pPr>
                    <w:rPr>
                      <w:rFonts w:cs="Arial"/>
                      <w:sz w:val="16"/>
                      <w:szCs w:val="16"/>
                    </w:rPr>
                  </w:pPr>
                </w:p>
                <w:p w:rsidR="00B052DE" w:rsidRPr="00B052DE" w:rsidRDefault="00B052DE" w:rsidP="00B052DE">
                  <w:pPr>
                    <w:numPr>
                      <w:ilvl w:val="0"/>
                      <w:numId w:val="4"/>
                    </w:numPr>
                    <w:tabs>
                      <w:tab w:val="clear" w:pos="360"/>
                      <w:tab w:val="num" w:pos="252"/>
                    </w:tabs>
                    <w:ind w:left="252" w:hanging="252"/>
                    <w:rPr>
                      <w:rFonts w:cs="Arial"/>
                      <w:sz w:val="18"/>
                      <w:szCs w:val="18"/>
                    </w:rPr>
                  </w:pPr>
                  <w:r w:rsidRPr="00B052DE">
                    <w:rPr>
                      <w:rFonts w:cs="Arial"/>
                      <w:sz w:val="18"/>
                      <w:szCs w:val="18"/>
                    </w:rPr>
                    <w:t>Officers / designated individuals will secure the waiting room entrance and will direct all patients/visitors in the waiting room area to the designated location, if leadership determines this is necessary.</w:t>
                  </w:r>
                </w:p>
              </w:tc>
              <w:tc>
                <w:tcPr>
                  <w:tcW w:w="2340" w:type="dxa"/>
                </w:tcPr>
                <w:p w:rsidR="00B052DE" w:rsidRPr="00B052DE" w:rsidRDefault="00B052DE" w:rsidP="003E6300">
                  <w:pPr>
                    <w:rPr>
                      <w:rFonts w:cs="Arial"/>
                      <w:sz w:val="18"/>
                      <w:szCs w:val="18"/>
                    </w:rPr>
                  </w:pPr>
                </w:p>
              </w:tc>
              <w:tc>
                <w:tcPr>
                  <w:tcW w:w="2070" w:type="dxa"/>
                </w:tcPr>
                <w:p w:rsidR="00B052DE" w:rsidRPr="00B052DE" w:rsidRDefault="00B052DE" w:rsidP="00B052DE">
                  <w:pPr>
                    <w:numPr>
                      <w:ilvl w:val="0"/>
                      <w:numId w:val="3"/>
                    </w:numPr>
                    <w:tabs>
                      <w:tab w:val="clear" w:pos="483"/>
                      <w:tab w:val="num" w:pos="231"/>
                    </w:tabs>
                    <w:spacing w:before="120"/>
                    <w:ind w:left="245" w:hanging="187"/>
                    <w:rPr>
                      <w:rFonts w:cs="Arial"/>
                      <w:sz w:val="18"/>
                      <w:szCs w:val="18"/>
                    </w:rPr>
                  </w:pPr>
                  <w:r w:rsidRPr="00B052DE">
                    <w:rPr>
                      <w:rFonts w:cs="Arial"/>
                      <w:sz w:val="18"/>
                      <w:szCs w:val="18"/>
                    </w:rPr>
                    <w:t>Wear nametags identifying them as associates.  Only associates with proper identification will be allowed to enter the hospital during an emergency.</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NOTE:  This does include associates leaving the department. The only time an associate should leave this department during a “Code Silver” is for mission essential movement.  </w:t>
                  </w:r>
                </w:p>
              </w:tc>
            </w:tr>
          </w:tbl>
          <w:p w:rsidR="00B052DE" w:rsidRDefault="00B052DE" w:rsidP="00B052DE"/>
          <w:p w:rsidR="00B052DE" w:rsidRPr="00B052DE" w:rsidRDefault="00B052DE" w:rsidP="00B052DE">
            <w:pPr>
              <w:jc w:val="center"/>
              <w:rPr>
                <w:rFonts w:cs="Arial"/>
                <w:b/>
              </w:rPr>
            </w:pPr>
            <w:r w:rsidRPr="00B052DE">
              <w:rPr>
                <w:rFonts w:cs="Arial"/>
                <w:b/>
              </w:rPr>
              <w:t>AREA RESPONSIBILITIES</w:t>
            </w:r>
          </w:p>
        </w:tc>
      </w:tr>
      <w:tr w:rsidR="00B052DE" w:rsidTr="00B052DE">
        <w:trPr>
          <w:tblHeader/>
        </w:trPr>
        <w:tc>
          <w:tcPr>
            <w:tcW w:w="1944" w:type="dxa"/>
          </w:tcPr>
          <w:p w:rsidR="00B052DE" w:rsidRPr="00B052DE" w:rsidRDefault="00B052DE" w:rsidP="00B052DE">
            <w:pPr>
              <w:jc w:val="center"/>
              <w:rPr>
                <w:rFonts w:cs="Arial"/>
                <w:b/>
                <w:sz w:val="18"/>
                <w:szCs w:val="18"/>
              </w:rPr>
            </w:pPr>
            <w:r w:rsidRPr="00B052DE">
              <w:rPr>
                <w:rFonts w:cs="Arial"/>
                <w:b/>
                <w:sz w:val="18"/>
                <w:szCs w:val="18"/>
              </w:rPr>
              <w:lastRenderedPageBreak/>
              <w:t>Event</w:t>
            </w:r>
          </w:p>
        </w:tc>
        <w:tc>
          <w:tcPr>
            <w:tcW w:w="3121" w:type="dxa"/>
          </w:tcPr>
          <w:p w:rsidR="00B052DE" w:rsidRPr="00B052DE" w:rsidRDefault="00B052DE" w:rsidP="00B052DE">
            <w:pPr>
              <w:jc w:val="center"/>
              <w:rPr>
                <w:rFonts w:cs="Arial"/>
                <w:b/>
                <w:sz w:val="18"/>
                <w:szCs w:val="18"/>
              </w:rPr>
            </w:pPr>
            <w:r w:rsidRPr="00B052DE">
              <w:rPr>
                <w:rFonts w:cs="Arial"/>
                <w:b/>
                <w:sz w:val="18"/>
                <w:szCs w:val="18"/>
              </w:rPr>
              <w:t>Incident Commander, Senior Administrator on Location, Administrator on Call, or Nursing Supervisor</w:t>
            </w:r>
          </w:p>
        </w:tc>
        <w:tc>
          <w:tcPr>
            <w:tcW w:w="2729" w:type="dxa"/>
          </w:tcPr>
          <w:p w:rsidR="00B052DE" w:rsidRPr="00B052DE" w:rsidRDefault="00B052DE" w:rsidP="00B052DE">
            <w:pPr>
              <w:jc w:val="center"/>
              <w:rPr>
                <w:rFonts w:cs="Arial"/>
                <w:b/>
                <w:sz w:val="18"/>
                <w:szCs w:val="18"/>
              </w:rPr>
            </w:pPr>
            <w:smartTag w:uri="urn:schemas-microsoft-com:office:smarttags" w:element="place">
              <w:smartTag w:uri="urn:schemas-microsoft-com:office:smarttags" w:element="PlaceName">
                <w:r w:rsidRPr="00B052DE">
                  <w:rPr>
                    <w:rFonts w:cs="Arial"/>
                    <w:b/>
                    <w:sz w:val="18"/>
                    <w:szCs w:val="18"/>
                  </w:rPr>
                  <w:t>Operations</w:t>
                </w:r>
              </w:smartTag>
              <w:r w:rsidRPr="00B052DE">
                <w:rPr>
                  <w:rFonts w:cs="Arial"/>
                  <w:b/>
                  <w:sz w:val="18"/>
                  <w:szCs w:val="18"/>
                </w:rPr>
                <w:t xml:space="preserve"> </w:t>
              </w:r>
              <w:smartTag w:uri="urn:schemas-microsoft-com:office:smarttags" w:element="PlaceType">
                <w:r w:rsidRPr="00B052DE">
                  <w:rPr>
                    <w:rFonts w:cs="Arial"/>
                    <w:b/>
                    <w:sz w:val="18"/>
                    <w:szCs w:val="18"/>
                  </w:rPr>
                  <w:t>Center</w:t>
                </w:r>
              </w:smartTag>
            </w:smartTag>
          </w:p>
        </w:tc>
        <w:tc>
          <w:tcPr>
            <w:tcW w:w="3098" w:type="dxa"/>
          </w:tcPr>
          <w:p w:rsidR="00B052DE" w:rsidRPr="00B052DE" w:rsidRDefault="00B052DE" w:rsidP="00B052DE">
            <w:pPr>
              <w:jc w:val="center"/>
              <w:rPr>
                <w:rFonts w:cs="Arial"/>
                <w:b/>
                <w:sz w:val="18"/>
                <w:szCs w:val="18"/>
              </w:rPr>
            </w:pPr>
            <w:r w:rsidRPr="00B052DE">
              <w:rPr>
                <w:rFonts w:cs="Arial"/>
                <w:b/>
                <w:sz w:val="18"/>
                <w:szCs w:val="18"/>
              </w:rPr>
              <w:t>Security</w:t>
            </w:r>
          </w:p>
        </w:tc>
        <w:tc>
          <w:tcPr>
            <w:tcW w:w="2015" w:type="dxa"/>
          </w:tcPr>
          <w:p w:rsidR="00B052DE" w:rsidRPr="00B052DE" w:rsidRDefault="00B052DE" w:rsidP="00B052DE">
            <w:pPr>
              <w:jc w:val="center"/>
              <w:rPr>
                <w:rFonts w:cs="Arial"/>
                <w:b/>
                <w:sz w:val="18"/>
                <w:szCs w:val="18"/>
              </w:rPr>
            </w:pPr>
            <w:r w:rsidRPr="00B052DE">
              <w:rPr>
                <w:rFonts w:cs="Arial"/>
                <w:b/>
                <w:sz w:val="18"/>
                <w:szCs w:val="18"/>
              </w:rPr>
              <w:t>Unit Nursing / Associates</w:t>
            </w:r>
          </w:p>
        </w:tc>
        <w:tc>
          <w:tcPr>
            <w:tcW w:w="2349" w:type="dxa"/>
          </w:tcPr>
          <w:p w:rsidR="00B052DE" w:rsidRPr="00B052DE" w:rsidRDefault="00B052DE" w:rsidP="00B052DE">
            <w:pPr>
              <w:jc w:val="center"/>
              <w:rPr>
                <w:rFonts w:cs="Arial"/>
                <w:b/>
                <w:sz w:val="18"/>
                <w:szCs w:val="18"/>
              </w:rPr>
            </w:pPr>
            <w:r w:rsidRPr="00B052DE">
              <w:rPr>
                <w:rFonts w:cs="Arial"/>
                <w:b/>
                <w:sz w:val="18"/>
                <w:szCs w:val="18"/>
              </w:rPr>
              <w:t>All PSFHS Associates</w:t>
            </w:r>
          </w:p>
        </w:tc>
      </w:tr>
      <w:tr w:rsidR="00B052DE" w:rsidTr="00B052DE">
        <w:tc>
          <w:tcPr>
            <w:tcW w:w="1944" w:type="dxa"/>
          </w:tcPr>
          <w:p w:rsidR="00B052DE" w:rsidRPr="00B052DE" w:rsidRDefault="00B052DE" w:rsidP="003E6300">
            <w:pPr>
              <w:rPr>
                <w:rFonts w:cs="Arial"/>
                <w:b/>
                <w:szCs w:val="20"/>
              </w:rPr>
            </w:pPr>
            <w:r w:rsidRPr="00B052DE">
              <w:rPr>
                <w:rFonts w:cs="Arial"/>
                <w:b/>
                <w:szCs w:val="20"/>
              </w:rPr>
              <w:t>Total Lockdown</w:t>
            </w:r>
          </w:p>
        </w:tc>
        <w:tc>
          <w:tcPr>
            <w:tcW w:w="3121" w:type="dxa"/>
          </w:tcPr>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Notify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and Security to activate a Code Silver.</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Determine if traffic access needs to be controlled.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Appoint a PSF associate to oversee the area designated as the “holding” area for outpatients and visitors.  NOTE:  Each person in this area will receive a nametag with the following information:  clinic they were visiting and date.</w:t>
            </w:r>
          </w:p>
        </w:tc>
        <w:tc>
          <w:tcPr>
            <w:tcW w:w="2729"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Announce overhead “Code Silver” and the applicable location (if necessary).  Example:  “Code Silver,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All Clear” when given the direction by the Incident Commander, Senior Administrator on Location, Administrator on Call, or Nursing Supervisor.</w:t>
            </w:r>
          </w:p>
        </w:tc>
        <w:tc>
          <w:tcPr>
            <w:tcW w:w="3098"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Limit traffic access by using chains and/or barricades to limit vehicular access, if directed.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Provide a recommendation to the designated PSF leadership on which entrances/exits should be controlled.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Direct other designated individual or post Code Silver sign at the main entrance.</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are responsible for securing all lockable exits and entrances in a systematic manner</w:t>
            </w:r>
          </w:p>
        </w:tc>
        <w:tc>
          <w:tcPr>
            <w:tcW w:w="2015"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Provide nametags to guests who are visiting in-patients.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Request visitors remain in the room with the patient until further direction has been given.</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Other visitors and those patients being seen in an outpatient clinic (i.e. blood bank, etc.) will be given directions on where to congregate until further direction has been given.</w:t>
            </w:r>
          </w:p>
          <w:p w:rsidR="00B052DE" w:rsidRPr="00B052DE" w:rsidRDefault="00B052DE" w:rsidP="003E6300">
            <w:pPr>
              <w:rPr>
                <w:rFonts w:cs="Arial"/>
                <w:sz w:val="18"/>
                <w:szCs w:val="18"/>
              </w:rPr>
            </w:pPr>
          </w:p>
        </w:tc>
        <w:tc>
          <w:tcPr>
            <w:tcW w:w="2349"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Wear nametags identifying them as associates.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w:t>
            </w:r>
          </w:p>
        </w:tc>
      </w:tr>
      <w:tr w:rsidR="00B052DE" w:rsidTr="00B052DE">
        <w:tc>
          <w:tcPr>
            <w:tcW w:w="1944" w:type="dxa"/>
          </w:tcPr>
          <w:p w:rsidR="00B052DE" w:rsidRPr="00B052DE" w:rsidRDefault="00B052DE" w:rsidP="003E6300">
            <w:pPr>
              <w:rPr>
                <w:rFonts w:cs="Arial"/>
                <w:b/>
                <w:szCs w:val="20"/>
              </w:rPr>
            </w:pPr>
            <w:r w:rsidRPr="00B052DE">
              <w:rPr>
                <w:rFonts w:cs="Arial"/>
                <w:b/>
                <w:szCs w:val="20"/>
              </w:rPr>
              <w:t>Controlled Lockdown</w:t>
            </w:r>
          </w:p>
        </w:tc>
        <w:tc>
          <w:tcPr>
            <w:tcW w:w="3121" w:type="dxa"/>
          </w:tcPr>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Notify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and Security to activate a Code Silver.</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Determine if traffic access needs to be controlled.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Notify the applicable departments and inform them of the designated entry/exit location.  This can be accomplished by notifying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or any other method deemed appropriate (i.e. </w:t>
            </w:r>
            <w:r w:rsidRPr="00B052DE">
              <w:rPr>
                <w:rFonts w:cs="Arial"/>
                <w:sz w:val="18"/>
                <w:szCs w:val="18"/>
              </w:rPr>
              <w:lastRenderedPageBreak/>
              <w:t>runners, telephone, etc.)</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Appoint a PSF associate to oversee the area designated as the “holding” area for outpatients and visitors.  NOTE:  Each person in this area will receive a nametag with the following information:  clinic they were visiting and date.</w:t>
            </w:r>
          </w:p>
        </w:tc>
        <w:tc>
          <w:tcPr>
            <w:tcW w:w="2729"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lastRenderedPageBreak/>
              <w:t xml:space="preserve">Announce overhead “Code Silver, Controlled Lockdown” and the applicable location (if necessary).  Example:  “Code Silver, Controlled Lockdown,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r w:rsidRPr="00B052DE">
              <w:rPr>
                <w:rFonts w:cs="Arial"/>
                <w:sz w:val="18"/>
                <w:szCs w:val="18"/>
              </w:rPr>
              <w: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Controlled Lockdown, All Clear” when given the direction by the Incident Commander, Senior Administrator on Location, Administrator on Call, or Nursing Supervisor.</w:t>
            </w:r>
          </w:p>
        </w:tc>
        <w:tc>
          <w:tcPr>
            <w:tcW w:w="3098"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Limit traffic access by using chains and/or barricades to limit vehicular access, if directed.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Provide a recommendation to the designated PSF leadership on which entrances/exits should be controlled.</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bookmarkStart w:id="0" w:name="OLE_LINK4"/>
            <w:bookmarkStart w:id="1" w:name="OLE_LINK5"/>
            <w:r w:rsidRPr="00B052DE">
              <w:rPr>
                <w:rFonts w:cs="Arial"/>
                <w:sz w:val="18"/>
                <w:szCs w:val="18"/>
              </w:rPr>
              <w:t>Scan all patient(s) and visitor(s) belongings by utilizing the handheld metal detector and will require identification from anyone entering the designated entry point.</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Activation of the handheld metal detector device will require the patient/visitor to empty the contents </w:t>
            </w:r>
            <w:r w:rsidRPr="00B052DE">
              <w:rPr>
                <w:rFonts w:cs="Arial"/>
                <w:sz w:val="18"/>
                <w:szCs w:val="18"/>
              </w:rPr>
              <w:lastRenderedPageBreak/>
              <w:t xml:space="preserve">of the bag, pockets, package, etc. onto a table for further examination. </w:t>
            </w:r>
          </w:p>
          <w:bookmarkEnd w:id="0"/>
          <w:bookmarkEnd w:id="1"/>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Direct other designated individual or post Code Silver sign at the main entrance.</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are responsible for securing all lockable exits and entrances in a systematic manner</w:t>
            </w:r>
          </w:p>
        </w:tc>
        <w:tc>
          <w:tcPr>
            <w:tcW w:w="2015"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lastRenderedPageBreak/>
              <w:t>Provide nametags to guests who are visiting in-patients.</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Request visitors remain in the room with the patient until further direction has been given.</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Other visitors and those patients being seen in an outpatient clinic (i.e. blood bank, etc.) will be given directions on where to congregate </w:t>
            </w:r>
            <w:r w:rsidRPr="00B052DE">
              <w:rPr>
                <w:rFonts w:cs="Arial"/>
                <w:sz w:val="18"/>
                <w:szCs w:val="18"/>
              </w:rPr>
              <w:lastRenderedPageBreak/>
              <w:t>until further direction has been given.</w:t>
            </w:r>
          </w:p>
          <w:p w:rsidR="00B052DE" w:rsidRPr="00B052DE" w:rsidRDefault="00B052DE" w:rsidP="003E6300">
            <w:pPr>
              <w:rPr>
                <w:rFonts w:cs="Arial"/>
                <w:sz w:val="18"/>
                <w:szCs w:val="18"/>
              </w:rPr>
            </w:pPr>
          </w:p>
        </w:tc>
        <w:tc>
          <w:tcPr>
            <w:tcW w:w="2349"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lastRenderedPageBreak/>
              <w:t>Wear nametags identifying them as associates.  NOTE:  Only persons with proper identification shall be admitted to the hospital during an emergency.</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w:t>
            </w:r>
          </w:p>
        </w:tc>
      </w:tr>
      <w:tr w:rsidR="00B052DE" w:rsidTr="00B052DE">
        <w:tc>
          <w:tcPr>
            <w:tcW w:w="1944" w:type="dxa"/>
          </w:tcPr>
          <w:p w:rsidR="00B052DE" w:rsidRPr="00B052DE" w:rsidRDefault="00B052DE" w:rsidP="003E6300">
            <w:pPr>
              <w:rPr>
                <w:rFonts w:cs="Arial"/>
                <w:b/>
                <w:szCs w:val="20"/>
              </w:rPr>
            </w:pPr>
            <w:r w:rsidRPr="00B052DE">
              <w:rPr>
                <w:rFonts w:cs="Arial"/>
                <w:b/>
                <w:szCs w:val="20"/>
              </w:rPr>
              <w:lastRenderedPageBreak/>
              <w:t>Emergency Department Lockdown</w:t>
            </w:r>
          </w:p>
        </w:tc>
        <w:tc>
          <w:tcPr>
            <w:tcW w:w="3121" w:type="dxa"/>
          </w:tcPr>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Notify the </w:t>
            </w:r>
            <w:smartTag w:uri="urn:schemas-microsoft-com:office:smarttags" w:element="place">
              <w:smartTag w:uri="urn:schemas-microsoft-com:office:smarttags" w:element="PlaceName">
                <w:r w:rsidRPr="00B052DE">
                  <w:rPr>
                    <w:rFonts w:cs="Arial"/>
                    <w:sz w:val="18"/>
                    <w:szCs w:val="18"/>
                  </w:rPr>
                  <w:t>Operations</w:t>
                </w:r>
              </w:smartTag>
              <w:r w:rsidRPr="00B052DE">
                <w:rPr>
                  <w:rFonts w:cs="Arial"/>
                  <w:sz w:val="18"/>
                  <w:szCs w:val="18"/>
                </w:rPr>
                <w:t xml:space="preserve"> </w:t>
              </w:r>
              <w:smartTag w:uri="urn:schemas-microsoft-com:office:smarttags" w:element="PlaceType">
                <w:r w:rsidRPr="00B052DE">
                  <w:rPr>
                    <w:rFonts w:cs="Arial"/>
                    <w:sz w:val="18"/>
                    <w:szCs w:val="18"/>
                  </w:rPr>
                  <w:t>Center</w:t>
                </w:r>
              </w:smartTag>
            </w:smartTag>
            <w:r w:rsidRPr="00B052DE">
              <w:rPr>
                <w:rFonts w:cs="Arial"/>
                <w:sz w:val="18"/>
                <w:szCs w:val="18"/>
              </w:rPr>
              <w:t xml:space="preserve"> and Security to activate a Code Silver.</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Notify the appropriate leadership (i.e. CNO, CMO, COO, etc.), Incident Commander, Senior Administrator on Location, Administrator on Call, or Nursing Supervisor regarding Code Silver.  NOTE:  Any of these individuals can declare a “Code Silver” for the Emergency Department.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 xml:space="preserve">Appoint other personnel (i.e. EVS, facilities, technicians, etc.) to assist security in controlling access/egress at key entrance/exit points. </w:t>
            </w:r>
          </w:p>
          <w:p w:rsidR="00B052DE" w:rsidRPr="00B052DE" w:rsidRDefault="00B052DE" w:rsidP="00B052DE">
            <w:pPr>
              <w:tabs>
                <w:tab w:val="num" w:pos="483"/>
              </w:tabs>
              <w:rPr>
                <w:rFonts w:cs="Arial"/>
                <w:sz w:val="18"/>
                <w:szCs w:val="18"/>
              </w:rPr>
            </w:pPr>
          </w:p>
          <w:p w:rsidR="00B052DE" w:rsidRPr="00B052DE" w:rsidRDefault="00B052DE" w:rsidP="00B052DE">
            <w:pPr>
              <w:numPr>
                <w:ilvl w:val="0"/>
                <w:numId w:val="3"/>
              </w:numPr>
              <w:tabs>
                <w:tab w:val="clear" w:pos="483"/>
                <w:tab w:val="num" w:pos="231"/>
                <w:tab w:val="num" w:pos="360"/>
              </w:tabs>
              <w:ind w:left="231" w:hanging="180"/>
              <w:rPr>
                <w:rFonts w:cs="Arial"/>
                <w:sz w:val="18"/>
                <w:szCs w:val="18"/>
              </w:rPr>
            </w:pPr>
            <w:r w:rsidRPr="00B052DE">
              <w:rPr>
                <w:rFonts w:cs="Arial"/>
                <w:sz w:val="18"/>
                <w:szCs w:val="18"/>
              </w:rPr>
              <w:t>Leadership will designate an alternate location for all patients/visitors to be directed to if he/she feels the situation is so unsafe that the ED waiting room needs to be secured.</w:t>
            </w:r>
          </w:p>
        </w:tc>
        <w:tc>
          <w:tcPr>
            <w:tcW w:w="2729"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Announce overhead “Code Silver, Emergency Department” and the applicable location (if necessary).  Example:  “Code Silver, Emergency Department, </w:t>
            </w:r>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r w:rsidRPr="00B052DE">
              <w:rPr>
                <w:rFonts w:cs="Arial"/>
                <w:sz w:val="18"/>
                <w:szCs w:val="18"/>
              </w:rPr>
              <w:t xml:space="preserve">” if the “Code Silver” is only for </w:t>
            </w:r>
            <w:smartTag w:uri="urn:schemas-microsoft-com:office:smarttags" w:element="place">
              <w:smartTag w:uri="urn:schemas-microsoft-com:office:smarttags" w:element="PlaceName">
                <w:r w:rsidRPr="00B052DE">
                  <w:rPr>
                    <w:rFonts w:cs="Arial"/>
                    <w:sz w:val="18"/>
                    <w:szCs w:val="18"/>
                  </w:rPr>
                  <w:t>Penrose</w:t>
                </w:r>
              </w:smartTag>
              <w:r w:rsidRPr="00B052DE">
                <w:rPr>
                  <w:rFonts w:cs="Arial"/>
                  <w:sz w:val="18"/>
                  <w:szCs w:val="18"/>
                </w:rPr>
                <w:t xml:space="preserve"> </w:t>
              </w:r>
              <w:smartTag w:uri="urn:schemas-microsoft-com:office:smarttags" w:element="PlaceType">
                <w:r w:rsidRPr="00B052DE">
                  <w:rPr>
                    <w:rFonts w:cs="Arial"/>
                    <w:sz w:val="18"/>
                    <w:szCs w:val="18"/>
                  </w:rPr>
                  <w:t>Hospital</w:t>
                </w:r>
              </w:smartTag>
            </w:smartTag>
            <w:r w:rsidRPr="00B052DE">
              <w:rPr>
                <w:rFonts w:cs="Arial"/>
                <w:sz w:val="18"/>
                <w:szCs w:val="18"/>
              </w:rPr>
              <w:t>.</w:t>
            </w:r>
          </w:p>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Announce “Code Silver, Emergency Department, All Clear” when given the direction by the Incident Commander, Senior Administrator on Location, Administrator on Call, or Nursing Supervisor.</w:t>
            </w:r>
          </w:p>
        </w:tc>
        <w:tc>
          <w:tcPr>
            <w:tcW w:w="3098" w:type="dxa"/>
          </w:tcPr>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Scan all patient(s) and visitor(s) belongings by utilizing the handheld metal detector and will require identification from anyone entering the Emergency Room waiting area.</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Activation of the handheld metal detector device will require the patient/visitor to empty the contents of the bag, pockets, package, etc. onto a table for further examination. </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On duty officers will secure all entrance/exit locations leading to the Emergency Department</w:t>
            </w:r>
          </w:p>
          <w:p w:rsidR="00B052DE" w:rsidRPr="00B052DE" w:rsidRDefault="00B052DE" w:rsidP="003E6300">
            <w:pPr>
              <w:rPr>
                <w:rFonts w:cs="Arial"/>
                <w:sz w:val="16"/>
                <w:szCs w:val="16"/>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Officers and other appointed designees will remove all visitors from the ED treatment areas and will prevent any visitors from going into the treatment area unless otherwise directed.</w:t>
            </w:r>
          </w:p>
          <w:p w:rsidR="00B052DE" w:rsidRPr="00B052DE" w:rsidRDefault="00B052DE" w:rsidP="003E6300">
            <w:pPr>
              <w:rPr>
                <w:rFonts w:cs="Arial"/>
                <w:sz w:val="16"/>
                <w:szCs w:val="16"/>
              </w:rPr>
            </w:pPr>
          </w:p>
          <w:p w:rsidR="00B052DE" w:rsidRPr="00B052DE" w:rsidRDefault="00B052DE" w:rsidP="00B052DE">
            <w:pPr>
              <w:numPr>
                <w:ilvl w:val="0"/>
                <w:numId w:val="4"/>
              </w:numPr>
              <w:tabs>
                <w:tab w:val="clear" w:pos="360"/>
                <w:tab w:val="num" w:pos="252"/>
              </w:tabs>
              <w:ind w:left="252" w:hanging="252"/>
              <w:rPr>
                <w:rFonts w:cs="Arial"/>
                <w:sz w:val="18"/>
                <w:szCs w:val="18"/>
              </w:rPr>
            </w:pPr>
            <w:r w:rsidRPr="00B052DE">
              <w:rPr>
                <w:rFonts w:cs="Arial"/>
                <w:sz w:val="18"/>
                <w:szCs w:val="18"/>
              </w:rPr>
              <w:t>Officers / designated individuals will secure the waiting room entrance and will direct all patients/visitors in the waiting room area to the designated location, if leadership determines this is necessary.</w:t>
            </w:r>
          </w:p>
        </w:tc>
        <w:tc>
          <w:tcPr>
            <w:tcW w:w="2015" w:type="dxa"/>
          </w:tcPr>
          <w:p w:rsidR="00B052DE" w:rsidRPr="00B052DE" w:rsidRDefault="00B052DE" w:rsidP="003E6300">
            <w:pPr>
              <w:rPr>
                <w:rFonts w:cs="Arial"/>
                <w:sz w:val="18"/>
                <w:szCs w:val="18"/>
              </w:rPr>
            </w:pPr>
          </w:p>
        </w:tc>
        <w:tc>
          <w:tcPr>
            <w:tcW w:w="2349" w:type="dxa"/>
          </w:tcPr>
          <w:p w:rsidR="00B052DE" w:rsidRPr="00B052DE" w:rsidRDefault="00B052DE" w:rsidP="00B052DE">
            <w:pPr>
              <w:numPr>
                <w:ilvl w:val="0"/>
                <w:numId w:val="3"/>
              </w:numPr>
              <w:tabs>
                <w:tab w:val="clear" w:pos="483"/>
                <w:tab w:val="num" w:pos="231"/>
              </w:tabs>
              <w:ind w:left="231" w:hanging="180"/>
              <w:rPr>
                <w:rFonts w:cs="Arial"/>
                <w:sz w:val="18"/>
                <w:szCs w:val="18"/>
              </w:rPr>
            </w:pPr>
            <w:bookmarkStart w:id="2" w:name="OLE_LINK6"/>
            <w:bookmarkStart w:id="3" w:name="OLE_LINK7"/>
            <w:r w:rsidRPr="00B052DE">
              <w:rPr>
                <w:rFonts w:cs="Arial"/>
                <w:sz w:val="18"/>
                <w:szCs w:val="18"/>
              </w:rPr>
              <w:t>Wear nametags identifying them as associates.  Only associates with proper identification will be allowed to enter the hospital during an emergency.</w:t>
            </w:r>
          </w:p>
          <w:bookmarkEnd w:id="2"/>
          <w:bookmarkEnd w:id="3"/>
          <w:p w:rsidR="00B052DE" w:rsidRPr="00B052DE" w:rsidRDefault="00B052DE" w:rsidP="003E6300">
            <w:pPr>
              <w:rPr>
                <w:rFonts w:cs="Arial"/>
                <w:sz w:val="18"/>
                <w:szCs w:val="18"/>
              </w:rPr>
            </w:pPr>
          </w:p>
          <w:p w:rsidR="00B052DE" w:rsidRPr="00B052DE" w:rsidRDefault="00B052DE" w:rsidP="00B052DE">
            <w:pPr>
              <w:numPr>
                <w:ilvl w:val="0"/>
                <w:numId w:val="3"/>
              </w:numPr>
              <w:tabs>
                <w:tab w:val="clear" w:pos="483"/>
                <w:tab w:val="num" w:pos="231"/>
              </w:tabs>
              <w:ind w:left="231" w:hanging="180"/>
              <w:rPr>
                <w:rFonts w:cs="Arial"/>
                <w:sz w:val="18"/>
                <w:szCs w:val="18"/>
              </w:rPr>
            </w:pPr>
            <w:r w:rsidRPr="00B052DE">
              <w:rPr>
                <w:rFonts w:cs="Arial"/>
                <w:sz w:val="18"/>
                <w:szCs w:val="18"/>
              </w:rPr>
              <w:t xml:space="preserve">Limit movement to </w:t>
            </w:r>
            <w:r w:rsidRPr="00B052DE">
              <w:rPr>
                <w:rFonts w:cs="Arial"/>
                <w:b/>
                <w:sz w:val="18"/>
                <w:szCs w:val="18"/>
                <w:u w:val="single"/>
              </w:rPr>
              <w:t>only</w:t>
            </w:r>
            <w:r w:rsidRPr="00B052DE">
              <w:rPr>
                <w:rFonts w:cs="Arial"/>
                <w:sz w:val="18"/>
                <w:szCs w:val="18"/>
              </w:rPr>
              <w:t xml:space="preserve"> mission essential movement.  NOTE:  This does include associates leaving the department. The only time an associate should leave this department during a “Code Silver” is for mission essential movement.  </w:t>
            </w:r>
          </w:p>
        </w:tc>
      </w:tr>
    </w:tbl>
    <w:p w:rsidR="00B052DE" w:rsidRDefault="00B052DE" w:rsidP="00B052DE">
      <w:pPr>
        <w:pStyle w:val="BodyText"/>
      </w:pPr>
    </w:p>
    <w:sectPr w:rsidR="00B052DE" w:rsidSect="003E6300">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00" w:rsidRDefault="003E6300" w:rsidP="00B052DE">
      <w:r>
        <w:separator/>
      </w:r>
    </w:p>
  </w:endnote>
  <w:endnote w:type="continuationSeparator" w:id="0">
    <w:p w:rsidR="003E6300" w:rsidRDefault="003E6300" w:rsidP="00B052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0" w:rsidRDefault="003E6300">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3E6300" w:rsidRDefault="003E6300">
    <w:pPr>
      <w:pStyle w:val="Header"/>
      <w:rPr>
        <w:rFonts w:ascii="Calibri" w:hAnsi="Calibri" w:cs="Arial"/>
        <w:b/>
        <w:i/>
        <w:sz w:val="16"/>
        <w:szCs w:val="16"/>
      </w:rPr>
    </w:pPr>
    <w:r>
      <w:rPr>
        <w:rFonts w:ascii="Calibri" w:hAnsi="Calibri" w:cs="Arial"/>
        <w:b/>
        <w:i/>
        <w:sz w:val="16"/>
        <w:szCs w:val="16"/>
      </w:rPr>
      <w:t xml:space="preserve"> </w:t>
    </w:r>
  </w:p>
  <w:p w:rsidR="003E6300" w:rsidRDefault="003E6300">
    <w:pPr>
      <w:pStyle w:val="Footer"/>
      <w:tabs>
        <w:tab w:val="clear" w:pos="9026"/>
        <w:tab w:val="right" w:pos="9270"/>
      </w:tabs>
      <w:jc w:val="both"/>
      <w:rPr>
        <w:sz w:val="20"/>
        <w:szCs w:val="20"/>
      </w:rPr>
    </w:pPr>
    <w:r>
      <w:rPr>
        <w:rStyle w:val="PageNumber"/>
        <w:sz w:val="20"/>
        <w:szCs w:val="20"/>
      </w:rPr>
      <w:t>Code SILVER – Lockdown/Limited Access</w:t>
    </w:r>
    <w:r>
      <w:rPr>
        <w:rStyle w:val="PageNumber"/>
        <w:sz w:val="20"/>
        <w:szCs w:val="20"/>
      </w:rPr>
      <w:tab/>
    </w:r>
    <w:r>
      <w:rPr>
        <w:rStyle w:val="PageNumbe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A16C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A16C4">
      <w:rPr>
        <w:rStyle w:val="PageNumber"/>
        <w:noProof/>
        <w:sz w:val="20"/>
        <w:szCs w:val="20"/>
      </w:rPr>
      <w:t>7</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00" w:rsidRDefault="003E6300" w:rsidP="00B052DE">
      <w:r>
        <w:separator/>
      </w:r>
    </w:p>
  </w:footnote>
  <w:footnote w:type="continuationSeparator" w:id="0">
    <w:p w:rsidR="003E6300" w:rsidRDefault="003E6300" w:rsidP="00B0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00" w:rsidRDefault="003E6300">
    <w:pPr>
      <w:pStyle w:val="Header"/>
      <w:jc w:val="right"/>
    </w:pPr>
  </w:p>
  <w:p w:rsidR="00B052DE" w:rsidRDefault="00B052DE">
    <w:pPr>
      <w:pStyle w:val="Header"/>
      <w:jc w:val="right"/>
    </w:pPr>
  </w:p>
  <w:p w:rsidR="00B052DE" w:rsidRDefault="00B052DE">
    <w:pPr>
      <w:pStyle w:val="Header"/>
      <w:jc w:val="right"/>
    </w:pPr>
  </w:p>
  <w:p w:rsidR="00B052DE" w:rsidRDefault="00B052DE">
    <w:pPr>
      <w:pStyle w:val="Header"/>
      <w:jc w:val="right"/>
    </w:pPr>
  </w:p>
  <w:p w:rsidR="00B052DE" w:rsidRDefault="00B052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284"/>
    <w:multiLevelType w:val="hybridMultilevel"/>
    <w:tmpl w:val="036A3702"/>
    <w:lvl w:ilvl="0" w:tplc="871A9684">
      <w:start w:val="1"/>
      <w:numFmt w:val="bullet"/>
      <w:lvlText w:val=""/>
      <w:lvlJc w:val="left"/>
      <w:pPr>
        <w:tabs>
          <w:tab w:val="num" w:pos="483"/>
        </w:tabs>
        <w:ind w:left="483" w:hanging="288"/>
      </w:pPr>
      <w:rPr>
        <w:rFonts w:ascii="Wingdings" w:hAnsi="Wingdings" w:hint="default"/>
      </w:rPr>
    </w:lvl>
    <w:lvl w:ilvl="1" w:tplc="04090003">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
    <w:nsid w:val="2DA53E4B"/>
    <w:multiLevelType w:val="hybridMultilevel"/>
    <w:tmpl w:val="31804C2E"/>
    <w:lvl w:ilvl="0" w:tplc="04090015">
      <w:start w:val="1"/>
      <w:numFmt w:val="upperLetter"/>
      <w:lvlText w:val="%1."/>
      <w:lvlJc w:val="left"/>
      <w:pPr>
        <w:ind w:left="45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AA6D64"/>
    <w:multiLevelType w:val="hybridMultilevel"/>
    <w:tmpl w:val="C52A678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5634BB4"/>
    <w:multiLevelType w:val="hybridMultilevel"/>
    <w:tmpl w:val="1F100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9B0E3C"/>
    <w:multiLevelType w:val="hybridMultilevel"/>
    <w:tmpl w:val="6A304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26BD1"/>
    <w:multiLevelType w:val="hybridMultilevel"/>
    <w:tmpl w:val="500C7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07547D"/>
    <w:multiLevelType w:val="hybridMultilevel"/>
    <w:tmpl w:val="1BA86CCA"/>
    <w:lvl w:ilvl="0" w:tplc="FFFC196A">
      <w:numFmt w:val="bullet"/>
      <w:lvlText w:val=""/>
      <w:lvlJc w:val="left"/>
      <w:pPr>
        <w:tabs>
          <w:tab w:val="num" w:pos="360"/>
        </w:tabs>
        <w:ind w:left="360" w:hanging="360"/>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2DE"/>
    <w:rsid w:val="002714BF"/>
    <w:rsid w:val="00293D29"/>
    <w:rsid w:val="002A16C4"/>
    <w:rsid w:val="003E6300"/>
    <w:rsid w:val="00466F86"/>
    <w:rsid w:val="00B052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52DE"/>
  </w:style>
  <w:style w:type="character" w:customStyle="1" w:styleId="BodyTextChar">
    <w:name w:val="Body Text Char"/>
    <w:basedOn w:val="DefaultParagraphFont"/>
    <w:link w:val="BodyText"/>
    <w:uiPriority w:val="99"/>
    <w:rsid w:val="00B052DE"/>
    <w:rPr>
      <w:rFonts w:ascii="Times New Roman" w:eastAsia="Times New Roman" w:hAnsi="Times New Roman" w:cs="Times New Roman"/>
      <w:sz w:val="24"/>
      <w:szCs w:val="24"/>
    </w:rPr>
  </w:style>
  <w:style w:type="table" w:styleId="TableGrid">
    <w:name w:val="Table Grid"/>
    <w:basedOn w:val="TableNormal"/>
    <w:rsid w:val="00B052DE"/>
    <w:rPr>
      <w:rFonts w:ascii="Arial" w:eastAsia="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052DE"/>
    <w:pPr>
      <w:ind w:left="720"/>
      <w:contextualSpacing/>
    </w:pPr>
  </w:style>
  <w:style w:type="paragraph" w:styleId="Header">
    <w:name w:val="header"/>
    <w:basedOn w:val="Normal"/>
    <w:link w:val="HeaderChar"/>
    <w:uiPriority w:val="99"/>
    <w:rsid w:val="00B052DE"/>
    <w:pPr>
      <w:tabs>
        <w:tab w:val="center" w:pos="4513"/>
        <w:tab w:val="right" w:pos="9026"/>
      </w:tabs>
    </w:pPr>
  </w:style>
  <w:style w:type="character" w:customStyle="1" w:styleId="HeaderChar">
    <w:name w:val="Header Char"/>
    <w:basedOn w:val="DefaultParagraphFont"/>
    <w:link w:val="Header"/>
    <w:uiPriority w:val="99"/>
    <w:rsid w:val="00B052DE"/>
    <w:rPr>
      <w:rFonts w:ascii="Times New Roman" w:eastAsia="Times New Roman" w:hAnsi="Times New Roman" w:cs="Times New Roman"/>
      <w:sz w:val="24"/>
      <w:szCs w:val="24"/>
    </w:rPr>
  </w:style>
  <w:style w:type="paragraph" w:styleId="Footer">
    <w:name w:val="footer"/>
    <w:basedOn w:val="Normal"/>
    <w:link w:val="FooterChar"/>
    <w:uiPriority w:val="99"/>
    <w:rsid w:val="00B052DE"/>
    <w:pPr>
      <w:tabs>
        <w:tab w:val="center" w:pos="4513"/>
        <w:tab w:val="right" w:pos="9026"/>
      </w:tabs>
    </w:pPr>
  </w:style>
  <w:style w:type="character" w:customStyle="1" w:styleId="FooterChar">
    <w:name w:val="Footer Char"/>
    <w:basedOn w:val="DefaultParagraphFont"/>
    <w:link w:val="Footer"/>
    <w:uiPriority w:val="99"/>
    <w:rsid w:val="00B052DE"/>
    <w:rPr>
      <w:rFonts w:ascii="Times New Roman" w:eastAsia="Times New Roman" w:hAnsi="Times New Roman" w:cs="Times New Roman"/>
      <w:sz w:val="24"/>
      <w:szCs w:val="24"/>
    </w:rPr>
  </w:style>
  <w:style w:type="character" w:styleId="PageNumber">
    <w:name w:val="page number"/>
    <w:basedOn w:val="DefaultParagraphFont"/>
    <w:uiPriority w:val="99"/>
    <w:rsid w:val="00B052DE"/>
    <w:rPr>
      <w:rFonts w:cs="Times New Roman"/>
    </w:rPr>
  </w:style>
  <w:style w:type="paragraph" w:customStyle="1" w:styleId="indent">
    <w:name w:val="indent"/>
    <w:basedOn w:val="Normal"/>
    <w:rsid w:val="00B052DE"/>
    <w:pPr>
      <w:spacing w:before="100" w:beforeAutospacing="1" w:after="100" w:afterAutospacing="1"/>
    </w:pPr>
  </w:style>
  <w:style w:type="character" w:styleId="Emphasis">
    <w:name w:val="Emphasis"/>
    <w:basedOn w:val="DefaultParagraphFont"/>
    <w:qFormat/>
    <w:rsid w:val="00B052DE"/>
    <w:rPr>
      <w:i/>
      <w:iCs/>
    </w:rPr>
  </w:style>
  <w:style w:type="character" w:styleId="Hyperlink">
    <w:name w:val="Hyperlink"/>
    <w:basedOn w:val="DefaultParagraphFont"/>
    <w:uiPriority w:val="99"/>
    <w:unhideWhenUsed/>
    <w:rsid w:val="00B052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pphosp.com/5/is-it-illegal-to-lock-down-a-public-buil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how.com/facts_5565992_procedure-policy-hospital-lockd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18633</CharactersWithSpaces>
  <SharedDoc>false</SharedDoc>
  <HLinks>
    <vt:vector size="12" baseType="variant">
      <vt:variant>
        <vt:i4>524358</vt:i4>
      </vt:variant>
      <vt:variant>
        <vt:i4>3</vt:i4>
      </vt:variant>
      <vt:variant>
        <vt:i4>0</vt:i4>
      </vt:variant>
      <vt:variant>
        <vt:i4>5</vt:i4>
      </vt:variant>
      <vt:variant>
        <vt:lpwstr>http://www.ehow.com/facts_5565992_procedure-policy-hospital-lockdown.html</vt:lpwstr>
      </vt:variant>
      <vt:variant>
        <vt:lpwstr/>
      </vt:variant>
      <vt:variant>
        <vt:i4>7798893</vt:i4>
      </vt:variant>
      <vt:variant>
        <vt:i4>0</vt:i4>
      </vt:variant>
      <vt:variant>
        <vt:i4>0</vt:i4>
      </vt:variant>
      <vt:variant>
        <vt:i4>5</vt:i4>
      </vt:variant>
      <vt:variant>
        <vt:lpwstr>http://www.hbpphosp.com/5/is-it-illegal-to-lock-down-a-public-building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dcterms:created xsi:type="dcterms:W3CDTF">2013-01-23T21:00:00Z</dcterms:created>
  <dcterms:modified xsi:type="dcterms:W3CDTF">2013-01-23T21:00:00Z</dcterms:modified>
</cp:coreProperties>
</file>