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71" w:rsidRDefault="005B4D71"/>
    <w:p w:rsidR="003E0D58" w:rsidRDefault="00532DA4" w:rsidP="00C8674D">
      <w:pPr>
        <w:pStyle w:val="Heading7"/>
        <w:rPr>
          <w:rFonts w:ascii="Arial" w:hAnsi="Arial" w:cs="Arial"/>
        </w:rPr>
      </w:pPr>
      <w:bookmarkStart w:id="0" w:name="_Facility_Implementation_Team"/>
      <w:bookmarkEnd w:id="0"/>
      <w:r w:rsidRPr="00532DA4">
        <w:rPr>
          <w:noProof/>
        </w:rPr>
        <w:pict>
          <v:shapetype id="_x0000_t202" coordsize="21600,21600" o:spt="202" path="m,l,21600r21600,l21600,xe">
            <v:stroke joinstyle="miter"/>
            <v:path gradientshapeok="t" o:connecttype="rect"/>
          </v:shapetype>
          <v:shape id="_x0000_s1026" type="#_x0000_t202" style="position:absolute;left:0;text-align:left;margin-left:9pt;margin-top:4.2pt;width:153.9pt;height:31.65pt;z-index:251657728" stroked="f">
            <v:textbox style="mso-next-textbox:#_x0000_s1026">
              <w:txbxContent>
                <w:p w:rsidR="005A2812" w:rsidRPr="00486DBB" w:rsidRDefault="0063675A" w:rsidP="00F20E0C">
                  <w:r>
                    <w:t>EP30EO-12</w:t>
                  </w:r>
                </w:p>
              </w:txbxContent>
            </v:textbox>
          </v:shape>
        </w:pict>
      </w:r>
      <w:r w:rsidR="00C8674D">
        <w:rPr>
          <w:rFonts w:ascii="Arial" w:hAnsi="Arial" w:cs="Arial"/>
          <w:bCs w:val="0"/>
          <w:shadow/>
        </w:rPr>
        <w:t>5 South Staff Meeting Minutes</w:t>
      </w:r>
    </w:p>
    <w:p w:rsidR="005242B8" w:rsidRPr="005242B8" w:rsidRDefault="00401AFC" w:rsidP="005242B8">
      <w:r>
        <w:tab/>
      </w:r>
      <w:r>
        <w:tab/>
      </w:r>
      <w:r>
        <w:tab/>
      </w:r>
      <w:r>
        <w:tab/>
      </w:r>
      <w:r>
        <w:tab/>
      </w:r>
      <w:r w:rsidR="002559BF">
        <w:t>2/9/12 &amp; 2/10/12</w:t>
      </w:r>
    </w:p>
    <w:p w:rsidR="00C8674D" w:rsidRDefault="00C8674D" w:rsidP="005B4D71">
      <w:pPr>
        <w:rPr>
          <w:rFonts w:ascii="Arial" w:hAnsi="Arial" w:cs="Arial"/>
          <w:b/>
          <w:bCs/>
          <w:iCs/>
          <w:sz w:val="22"/>
          <w:szCs w:val="22"/>
        </w:rPr>
      </w:pPr>
    </w:p>
    <w:p w:rsidR="00C8674D" w:rsidRDefault="00C8674D" w:rsidP="005B4D71">
      <w:pPr>
        <w:rPr>
          <w:rFonts w:ascii="Arial" w:hAnsi="Arial" w:cs="Arial"/>
          <w:b/>
          <w:bCs/>
          <w:iCs/>
          <w:sz w:val="22"/>
          <w:szCs w:val="22"/>
        </w:rPr>
      </w:pPr>
    </w:p>
    <w:p w:rsidR="009F0B09" w:rsidRPr="000501B1" w:rsidRDefault="000501B1" w:rsidP="005B4D71">
      <w:pPr>
        <w:rPr>
          <w:rFonts w:ascii="Arial" w:hAnsi="Arial" w:cs="Arial"/>
          <w:bCs/>
          <w:iCs/>
          <w:sz w:val="22"/>
          <w:szCs w:val="22"/>
        </w:rPr>
      </w:pPr>
      <w:r w:rsidRPr="000501B1">
        <w:rPr>
          <w:rFonts w:ascii="Arial" w:hAnsi="Arial" w:cs="Arial"/>
          <w:b/>
          <w:bCs/>
          <w:iCs/>
          <w:sz w:val="22"/>
          <w:szCs w:val="22"/>
        </w:rPr>
        <w:t>Reflection:</w:t>
      </w:r>
      <w:r w:rsidR="002A0A94">
        <w:rPr>
          <w:rFonts w:ascii="Arial" w:hAnsi="Arial" w:cs="Arial"/>
          <w:bCs/>
          <w:iCs/>
          <w:sz w:val="22"/>
          <w:szCs w:val="22"/>
        </w:rPr>
        <w:t xml:space="preserve"> </w:t>
      </w:r>
      <w:r w:rsidR="00644A20">
        <w:rPr>
          <w:rFonts w:ascii="Arial" w:hAnsi="Arial" w:cs="Arial"/>
          <w:bCs/>
          <w:iCs/>
          <w:sz w:val="22"/>
          <w:szCs w:val="22"/>
        </w:rPr>
        <w:t xml:space="preserve">Helping Hands </w:t>
      </w:r>
    </w:p>
    <w:p w:rsidR="007D62F2" w:rsidRDefault="00D77795" w:rsidP="00BA2D16">
      <w:pPr>
        <w:rPr>
          <w:rFonts w:ascii="Arial" w:hAnsi="Arial" w:cs="Arial"/>
          <w:bCs/>
          <w:iCs/>
          <w:sz w:val="20"/>
          <w:szCs w:val="20"/>
        </w:rPr>
      </w:pPr>
      <w:r w:rsidRPr="000501B1">
        <w:rPr>
          <w:rFonts w:ascii="Arial" w:hAnsi="Arial" w:cs="Arial"/>
          <w:b/>
          <w:bCs/>
          <w:iCs/>
        </w:rPr>
        <w:t>Attendance:</w:t>
      </w:r>
      <w:r w:rsidR="00F01086" w:rsidRPr="000501B1">
        <w:rPr>
          <w:rFonts w:ascii="Arial" w:hAnsi="Arial" w:cs="Arial"/>
          <w:bCs/>
          <w:iCs/>
        </w:rPr>
        <w:t xml:space="preserve"> </w:t>
      </w:r>
      <w:r w:rsidR="000501B1" w:rsidRPr="000501B1">
        <w:rPr>
          <w:rFonts w:ascii="Arial" w:hAnsi="Arial" w:cs="Arial"/>
          <w:bCs/>
          <w:iCs/>
          <w:sz w:val="20"/>
          <w:szCs w:val="20"/>
        </w:rPr>
        <w:t xml:space="preserve">Charis Atkins, Mindy Bush, Mary </w:t>
      </w:r>
      <w:proofErr w:type="spellStart"/>
      <w:r w:rsidR="000501B1" w:rsidRPr="000501B1">
        <w:rPr>
          <w:rFonts w:ascii="Arial" w:hAnsi="Arial" w:cs="Arial"/>
          <w:bCs/>
          <w:iCs/>
          <w:sz w:val="20"/>
          <w:szCs w:val="20"/>
        </w:rPr>
        <w:t>DeBroux</w:t>
      </w:r>
      <w:proofErr w:type="spellEnd"/>
      <w:r w:rsidR="000501B1" w:rsidRPr="000501B1">
        <w:rPr>
          <w:rFonts w:ascii="Arial" w:hAnsi="Arial" w:cs="Arial"/>
          <w:bCs/>
          <w:iCs/>
          <w:sz w:val="20"/>
          <w:szCs w:val="20"/>
        </w:rPr>
        <w:t xml:space="preserve">, </w:t>
      </w:r>
      <w:r w:rsidR="00401AFC">
        <w:rPr>
          <w:rFonts w:ascii="Arial" w:hAnsi="Arial" w:cs="Arial"/>
          <w:bCs/>
          <w:iCs/>
          <w:sz w:val="20"/>
          <w:szCs w:val="20"/>
        </w:rPr>
        <w:t xml:space="preserve">Kelsey Dennison, </w:t>
      </w:r>
      <w:r w:rsidR="000501B1" w:rsidRPr="000501B1">
        <w:rPr>
          <w:rFonts w:ascii="Arial" w:hAnsi="Arial" w:cs="Arial"/>
          <w:bCs/>
          <w:iCs/>
          <w:sz w:val="20"/>
          <w:szCs w:val="20"/>
        </w:rPr>
        <w:t xml:space="preserve">Sandra Everett, Alissa Garcia, Kristin Hall, Michelle Hines, Josefina Lee, </w:t>
      </w:r>
      <w:r w:rsidR="00401AFC">
        <w:rPr>
          <w:rFonts w:ascii="Arial" w:hAnsi="Arial" w:cs="Arial"/>
          <w:bCs/>
          <w:iCs/>
          <w:sz w:val="20"/>
          <w:szCs w:val="20"/>
        </w:rPr>
        <w:t xml:space="preserve">Sam Jennings, </w:t>
      </w:r>
      <w:r w:rsidR="00644A20">
        <w:rPr>
          <w:rFonts w:ascii="Arial" w:hAnsi="Arial" w:cs="Arial"/>
          <w:bCs/>
          <w:iCs/>
          <w:sz w:val="20"/>
          <w:szCs w:val="20"/>
        </w:rPr>
        <w:t>Heather Mangels, Della W</w:t>
      </w:r>
      <w:r w:rsidR="00401AFC">
        <w:rPr>
          <w:rFonts w:ascii="Arial" w:hAnsi="Arial" w:cs="Arial"/>
          <w:bCs/>
          <w:iCs/>
          <w:sz w:val="20"/>
          <w:szCs w:val="20"/>
        </w:rPr>
        <w:t>i</w:t>
      </w:r>
      <w:r w:rsidR="00644A20">
        <w:rPr>
          <w:rFonts w:ascii="Arial" w:hAnsi="Arial" w:cs="Arial"/>
          <w:bCs/>
          <w:iCs/>
          <w:sz w:val="20"/>
          <w:szCs w:val="20"/>
        </w:rPr>
        <w:t>e</w:t>
      </w:r>
      <w:r w:rsidR="00401AFC">
        <w:rPr>
          <w:rFonts w:ascii="Arial" w:hAnsi="Arial" w:cs="Arial"/>
          <w:bCs/>
          <w:iCs/>
          <w:sz w:val="20"/>
          <w:szCs w:val="20"/>
        </w:rPr>
        <w:t>be</w:t>
      </w:r>
      <w:r w:rsidR="00644A20">
        <w:rPr>
          <w:rFonts w:ascii="Arial" w:hAnsi="Arial" w:cs="Arial"/>
          <w:bCs/>
          <w:iCs/>
          <w:sz w:val="20"/>
          <w:szCs w:val="20"/>
        </w:rPr>
        <w:t xml:space="preserve">, Amanda Valenzuela, Carla Clore, Christine Pickering, Erin </w:t>
      </w:r>
      <w:proofErr w:type="spellStart"/>
      <w:r w:rsidR="00644A20">
        <w:rPr>
          <w:rFonts w:ascii="Arial" w:hAnsi="Arial" w:cs="Arial"/>
          <w:bCs/>
          <w:iCs/>
          <w:sz w:val="20"/>
          <w:szCs w:val="20"/>
        </w:rPr>
        <w:t>evans</w:t>
      </w:r>
      <w:proofErr w:type="spellEnd"/>
      <w:r w:rsidR="00644A20">
        <w:rPr>
          <w:rFonts w:ascii="Arial" w:hAnsi="Arial" w:cs="Arial"/>
          <w:bCs/>
          <w:iCs/>
          <w:sz w:val="20"/>
          <w:szCs w:val="20"/>
        </w:rPr>
        <w:t xml:space="preserve">, Jodi Roehsner, Jordon Wiggers, Karissa Hopwood, Kimberly Callihan, Kimra Fitzwater, Lisa Mahrer, Kayla Aiosa, Rene Garcia, Samantha Keller, Vanessa Harrell, Mary Castle,  </w:t>
      </w:r>
    </w:p>
    <w:p w:rsidR="004209AA" w:rsidRDefault="004209AA" w:rsidP="00BA2D16">
      <w:pPr>
        <w:rPr>
          <w:rFonts w:ascii="Arial" w:hAnsi="Arial" w:cs="Arial"/>
          <w:bCs/>
          <w:iCs/>
          <w:sz w:val="20"/>
          <w:szCs w:val="20"/>
        </w:rPr>
      </w:pPr>
    </w:p>
    <w:p w:rsidR="000E7D32" w:rsidRDefault="00532DA4" w:rsidP="00BA2D16">
      <w:pPr>
        <w:rPr>
          <w:rFonts w:ascii="Arial" w:hAnsi="Arial" w:cs="Arial"/>
          <w:b/>
          <w:bCs/>
          <w:iCs/>
          <w:sz w:val="22"/>
          <w:szCs w:val="22"/>
        </w:rPr>
      </w:pPr>
      <w:r>
        <w:rPr>
          <w:rFonts w:ascii="Arial" w:hAnsi="Arial" w:cs="Arial"/>
          <w:b/>
          <w:bCs/>
          <w:iCs/>
          <w:noProof/>
          <w:sz w:val="22"/>
          <w:szCs w:val="22"/>
        </w:rPr>
        <w:pict>
          <v:shape id="_x0000_s1028" type="#_x0000_t202" style="position:absolute;margin-left:-35.85pt;margin-top:.2pt;width:575.25pt;height:54pt;z-index:251658752" filled="f">
            <v:textbox>
              <w:txbxContent>
                <w:p w:rsidR="004209AA" w:rsidRDefault="004209AA"/>
              </w:txbxContent>
            </v:textbox>
          </v:shape>
        </w:pict>
      </w:r>
      <w:r w:rsidR="004209AA">
        <w:rPr>
          <w:rFonts w:ascii="Arial" w:hAnsi="Arial" w:cs="Arial"/>
          <w:b/>
          <w:bCs/>
          <w:iCs/>
          <w:noProof/>
          <w:sz w:val="22"/>
          <w:szCs w:val="22"/>
        </w:rPr>
        <w:t xml:space="preserve">Education: </w:t>
      </w:r>
    </w:p>
    <w:p w:rsidR="00CF2376" w:rsidRPr="00644A20" w:rsidRDefault="00644A20" w:rsidP="000E7D32">
      <w:pPr>
        <w:rPr>
          <w:rFonts w:ascii="Arial" w:hAnsi="Arial" w:cs="Arial"/>
          <w:bCs/>
          <w:iCs/>
          <w:sz w:val="22"/>
          <w:szCs w:val="22"/>
        </w:rPr>
      </w:pPr>
      <w:proofErr w:type="gramStart"/>
      <w:r>
        <w:rPr>
          <w:rFonts w:ascii="Arial" w:hAnsi="Arial" w:cs="Arial"/>
          <w:b/>
          <w:bCs/>
          <w:iCs/>
          <w:sz w:val="22"/>
          <w:szCs w:val="22"/>
        </w:rPr>
        <w:t xml:space="preserve">Rose Ann Moore, BSN, RN, NE-BC, Director of Patient Care Services, </w:t>
      </w:r>
      <w:r w:rsidRPr="00644A20">
        <w:rPr>
          <w:rFonts w:ascii="Arial" w:hAnsi="Arial" w:cs="Arial"/>
          <w:bCs/>
          <w:iCs/>
          <w:sz w:val="22"/>
          <w:szCs w:val="22"/>
        </w:rPr>
        <w:t xml:space="preserve">“Care of the Agitated and Violent </w:t>
      </w:r>
      <w:r w:rsidR="000E7D32">
        <w:rPr>
          <w:rFonts w:ascii="Arial" w:hAnsi="Arial" w:cs="Arial"/>
          <w:bCs/>
          <w:iCs/>
          <w:sz w:val="22"/>
          <w:szCs w:val="22"/>
        </w:rPr>
        <w:t xml:space="preserve">Patient </w:t>
      </w:r>
      <w:r w:rsidRPr="00644A20">
        <w:rPr>
          <w:rFonts w:ascii="Arial" w:hAnsi="Arial" w:cs="Arial"/>
          <w:bCs/>
          <w:iCs/>
          <w:sz w:val="22"/>
          <w:szCs w:val="22"/>
        </w:rPr>
        <w:t>Hospitalized on an Inpatient Medical/Surgical Unit.</w:t>
      </w:r>
      <w:proofErr w:type="gramEnd"/>
      <w:r w:rsidRPr="00644A20">
        <w:rPr>
          <w:rFonts w:ascii="Arial" w:hAnsi="Arial" w:cs="Arial"/>
          <w:bCs/>
          <w:iCs/>
          <w:sz w:val="22"/>
          <w:szCs w:val="22"/>
        </w:rPr>
        <w:t xml:space="preserve"> </w:t>
      </w:r>
    </w:p>
    <w:p w:rsidR="00644A20" w:rsidRPr="000E7D32" w:rsidRDefault="00644A20" w:rsidP="00BA2D16">
      <w:pPr>
        <w:rPr>
          <w:rFonts w:ascii="Arial" w:hAnsi="Arial" w:cs="Arial"/>
          <w:bCs/>
          <w:iCs/>
          <w:sz w:val="22"/>
          <w:szCs w:val="22"/>
        </w:rPr>
      </w:pPr>
      <w:r>
        <w:rPr>
          <w:rFonts w:ascii="Arial" w:hAnsi="Arial" w:cs="Arial"/>
          <w:b/>
          <w:bCs/>
          <w:iCs/>
          <w:sz w:val="22"/>
          <w:szCs w:val="22"/>
        </w:rPr>
        <w:t xml:space="preserve">Stephanie Quirk, </w:t>
      </w:r>
      <w:r w:rsidRPr="000E7D32">
        <w:rPr>
          <w:b/>
        </w:rPr>
        <w:t xml:space="preserve">RN, MSN, ACNP, CCRN, </w:t>
      </w:r>
      <w:r w:rsidR="000E7D32">
        <w:rPr>
          <w:rFonts w:ascii="Arial" w:hAnsi="Arial" w:cs="Arial"/>
          <w:b/>
          <w:bCs/>
          <w:iCs/>
          <w:sz w:val="22"/>
          <w:szCs w:val="22"/>
        </w:rPr>
        <w:t>Clinical E</w:t>
      </w:r>
      <w:r w:rsidRPr="000E7D32">
        <w:rPr>
          <w:rFonts w:ascii="Arial" w:hAnsi="Arial" w:cs="Arial"/>
          <w:b/>
          <w:bCs/>
          <w:iCs/>
          <w:sz w:val="22"/>
          <w:szCs w:val="22"/>
        </w:rPr>
        <w:t>ducator</w:t>
      </w:r>
      <w:r w:rsidRPr="000E7D32">
        <w:rPr>
          <w:rFonts w:ascii="Arial" w:hAnsi="Arial" w:cs="Arial"/>
          <w:bCs/>
          <w:iCs/>
          <w:sz w:val="22"/>
          <w:szCs w:val="22"/>
        </w:rPr>
        <w:t xml:space="preserve">, </w:t>
      </w:r>
      <w:r w:rsidR="000E7D32" w:rsidRPr="000E7D32">
        <w:rPr>
          <w:rFonts w:ascii="Arial" w:hAnsi="Arial" w:cs="Arial"/>
          <w:bCs/>
          <w:iCs/>
          <w:sz w:val="22"/>
          <w:szCs w:val="22"/>
        </w:rPr>
        <w:t xml:space="preserve">“Alcohol Abuse” </w:t>
      </w:r>
    </w:p>
    <w:p w:rsidR="000E7D32" w:rsidRDefault="000E7D32" w:rsidP="00BA2D16">
      <w:pPr>
        <w:rPr>
          <w:rFonts w:ascii="Arial" w:hAnsi="Arial" w:cs="Arial"/>
          <w:b/>
          <w:bCs/>
          <w:iCs/>
          <w:sz w:val="22"/>
          <w:szCs w:val="22"/>
        </w:rPr>
      </w:pPr>
    </w:p>
    <w:p w:rsidR="000E7D32" w:rsidRPr="000E7D32" w:rsidRDefault="000E7D32" w:rsidP="00BA2D16">
      <w:pPr>
        <w:rPr>
          <w:rFonts w:ascii="Arial" w:hAnsi="Arial" w:cs="Arial"/>
          <w:bCs/>
          <w:iCs/>
          <w:sz w:val="22"/>
          <w:szCs w:val="22"/>
        </w:rPr>
      </w:pPr>
      <w:r w:rsidRPr="000E7D32">
        <w:rPr>
          <w:rFonts w:ascii="Arial" w:hAnsi="Arial" w:cs="Arial"/>
          <w:bCs/>
          <w:iCs/>
          <w:sz w:val="22"/>
          <w:szCs w:val="22"/>
        </w:rPr>
        <w:t xml:space="preserve">Please see Mackenzie for the PowerPoint handouts if you did not attend the staff meeting but would like the education. </w:t>
      </w:r>
    </w:p>
    <w:p w:rsidR="000E7D32" w:rsidRPr="000E7D32" w:rsidRDefault="000E7D32" w:rsidP="00BA2D16">
      <w:pPr>
        <w:rPr>
          <w:rFonts w:ascii="Arial" w:hAnsi="Arial" w:cs="Arial"/>
          <w:bCs/>
          <w:iCs/>
          <w:sz w:val="22"/>
          <w:szCs w:val="22"/>
        </w:rPr>
      </w:pPr>
    </w:p>
    <w:tbl>
      <w:tblPr>
        <w:tblW w:w="10635"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4735"/>
        <w:gridCol w:w="2387"/>
        <w:gridCol w:w="1525"/>
      </w:tblGrid>
      <w:tr w:rsidR="003E722E" w:rsidRPr="004209AA" w:rsidTr="0063675A">
        <w:trPr>
          <w:jc w:val="center"/>
        </w:trPr>
        <w:tc>
          <w:tcPr>
            <w:tcW w:w="1988" w:type="dxa"/>
            <w:shd w:val="clear" w:color="auto" w:fill="CCFFCC"/>
          </w:tcPr>
          <w:p w:rsidR="003E722E" w:rsidRPr="004209AA" w:rsidRDefault="00C8674D" w:rsidP="006E0EA8">
            <w:pPr>
              <w:rPr>
                <w:rFonts w:ascii="Arial" w:eastAsia="Times" w:hAnsi="Arial"/>
                <w:b/>
                <w:sz w:val="22"/>
                <w:szCs w:val="22"/>
              </w:rPr>
            </w:pPr>
            <w:r w:rsidRPr="004209AA">
              <w:rPr>
                <w:rFonts w:ascii="Arial" w:eastAsia="Times" w:hAnsi="Arial"/>
                <w:b/>
                <w:sz w:val="22"/>
                <w:szCs w:val="22"/>
              </w:rPr>
              <w:t xml:space="preserve">Quality </w:t>
            </w:r>
          </w:p>
        </w:tc>
        <w:tc>
          <w:tcPr>
            <w:tcW w:w="4883" w:type="dxa"/>
            <w:shd w:val="clear" w:color="auto" w:fill="CCFFCC"/>
          </w:tcPr>
          <w:p w:rsidR="003E722E" w:rsidRPr="004209AA" w:rsidRDefault="000501B1" w:rsidP="005B3430">
            <w:pPr>
              <w:rPr>
                <w:rFonts w:ascii="Arial" w:eastAsia="Times" w:hAnsi="Arial"/>
                <w:b/>
                <w:sz w:val="22"/>
                <w:szCs w:val="22"/>
              </w:rPr>
            </w:pPr>
            <w:r w:rsidRPr="004209AA">
              <w:rPr>
                <w:rFonts w:ascii="Arial" w:eastAsia="Times" w:hAnsi="Arial"/>
                <w:b/>
                <w:sz w:val="22"/>
                <w:szCs w:val="22"/>
              </w:rPr>
              <w:t>Discussion</w:t>
            </w:r>
          </w:p>
        </w:tc>
        <w:tc>
          <w:tcPr>
            <w:tcW w:w="2430" w:type="dxa"/>
            <w:shd w:val="clear" w:color="auto" w:fill="CCFFCC"/>
          </w:tcPr>
          <w:p w:rsidR="003E722E" w:rsidRPr="004209AA" w:rsidRDefault="000501B1" w:rsidP="005B3430">
            <w:pPr>
              <w:rPr>
                <w:rFonts w:ascii="Arial" w:eastAsia="Times" w:hAnsi="Arial"/>
                <w:b/>
                <w:sz w:val="22"/>
                <w:szCs w:val="22"/>
              </w:rPr>
            </w:pPr>
            <w:r w:rsidRPr="004209AA">
              <w:rPr>
                <w:rFonts w:ascii="Arial" w:eastAsia="Times" w:hAnsi="Arial"/>
                <w:b/>
                <w:sz w:val="22"/>
                <w:szCs w:val="22"/>
              </w:rPr>
              <w:t>Action</w:t>
            </w:r>
          </w:p>
        </w:tc>
        <w:tc>
          <w:tcPr>
            <w:tcW w:w="1334" w:type="dxa"/>
            <w:shd w:val="clear" w:color="auto" w:fill="CCFFCC"/>
          </w:tcPr>
          <w:p w:rsidR="003E722E" w:rsidRPr="004209AA" w:rsidRDefault="000501B1" w:rsidP="005B3430">
            <w:pPr>
              <w:rPr>
                <w:rFonts w:ascii="Arial" w:eastAsia="Times" w:hAnsi="Arial"/>
                <w:b/>
                <w:sz w:val="22"/>
                <w:szCs w:val="22"/>
              </w:rPr>
            </w:pPr>
            <w:r w:rsidRPr="004209AA">
              <w:rPr>
                <w:rFonts w:ascii="Arial" w:eastAsia="Times" w:hAnsi="Arial"/>
                <w:b/>
                <w:sz w:val="22"/>
                <w:szCs w:val="22"/>
              </w:rPr>
              <w:t>Responsible</w:t>
            </w:r>
          </w:p>
        </w:tc>
      </w:tr>
      <w:tr w:rsidR="003E722E" w:rsidRPr="004209AA" w:rsidTr="0063675A">
        <w:trPr>
          <w:trHeight w:val="1349"/>
          <w:jc w:val="center"/>
        </w:trPr>
        <w:tc>
          <w:tcPr>
            <w:tcW w:w="1988" w:type="dxa"/>
          </w:tcPr>
          <w:p w:rsidR="00455C39" w:rsidRPr="004209AA" w:rsidRDefault="00750F24" w:rsidP="004209AA">
            <w:pPr>
              <w:rPr>
                <w:rFonts w:eastAsia="Times"/>
                <w:sz w:val="22"/>
                <w:szCs w:val="22"/>
              </w:rPr>
            </w:pPr>
            <w:r w:rsidRPr="004209AA">
              <w:rPr>
                <w:rFonts w:eastAsia="Times"/>
                <w:sz w:val="22"/>
                <w:szCs w:val="22"/>
              </w:rPr>
              <w:t xml:space="preserve">HCAHPS </w:t>
            </w:r>
          </w:p>
        </w:tc>
        <w:tc>
          <w:tcPr>
            <w:tcW w:w="4883" w:type="dxa"/>
          </w:tcPr>
          <w:p w:rsidR="000501B1" w:rsidRPr="004209AA" w:rsidRDefault="00750F24" w:rsidP="00791E2E">
            <w:pPr>
              <w:rPr>
                <w:rFonts w:eastAsia="Times"/>
                <w:sz w:val="22"/>
                <w:szCs w:val="22"/>
              </w:rPr>
            </w:pPr>
            <w:r w:rsidRPr="004209AA">
              <w:rPr>
                <w:rFonts w:eastAsia="Times"/>
                <w:sz w:val="22"/>
                <w:szCs w:val="22"/>
              </w:rPr>
              <w:t xml:space="preserve">We dropped slightly for the month of December but remain one of the top units in the system. Keep up the great work! Charge RNs will be rounding on patients focusing on a key question indicated by lower HCAHP scores. </w:t>
            </w:r>
          </w:p>
        </w:tc>
        <w:tc>
          <w:tcPr>
            <w:tcW w:w="2430" w:type="dxa"/>
          </w:tcPr>
          <w:p w:rsidR="00750F24" w:rsidRPr="004209AA" w:rsidRDefault="00750F24" w:rsidP="004209AA">
            <w:pPr>
              <w:rPr>
                <w:rFonts w:eastAsia="Times"/>
                <w:sz w:val="22"/>
                <w:szCs w:val="22"/>
              </w:rPr>
            </w:pPr>
            <w:r w:rsidRPr="004209AA">
              <w:rPr>
                <w:rFonts w:eastAsia="Times"/>
                <w:sz w:val="22"/>
                <w:szCs w:val="22"/>
              </w:rPr>
              <w:t xml:space="preserve">Continue to use AIDET, walking rounds, relationship care concepts. </w:t>
            </w:r>
          </w:p>
        </w:tc>
        <w:tc>
          <w:tcPr>
            <w:tcW w:w="1334" w:type="dxa"/>
          </w:tcPr>
          <w:p w:rsidR="003E722E" w:rsidRPr="004209AA" w:rsidRDefault="00750F24" w:rsidP="006671AC">
            <w:pPr>
              <w:rPr>
                <w:rFonts w:ascii="Arial" w:eastAsia="Times" w:hAnsi="Arial"/>
                <w:sz w:val="22"/>
                <w:szCs w:val="22"/>
              </w:rPr>
            </w:pPr>
            <w:r w:rsidRPr="004209AA">
              <w:rPr>
                <w:rFonts w:ascii="Arial" w:eastAsia="Times" w:hAnsi="Arial"/>
                <w:sz w:val="22"/>
                <w:szCs w:val="22"/>
              </w:rPr>
              <w:t xml:space="preserve">All </w:t>
            </w:r>
          </w:p>
        </w:tc>
      </w:tr>
      <w:tr w:rsidR="00750F24" w:rsidRPr="004209AA" w:rsidTr="0063675A">
        <w:trPr>
          <w:trHeight w:val="764"/>
          <w:jc w:val="center"/>
        </w:trPr>
        <w:tc>
          <w:tcPr>
            <w:tcW w:w="1988" w:type="dxa"/>
            <w:tcBorders>
              <w:bottom w:val="single" w:sz="4" w:space="0" w:color="auto"/>
            </w:tcBorders>
          </w:tcPr>
          <w:p w:rsidR="00750F24" w:rsidRPr="004209AA" w:rsidRDefault="00750F24" w:rsidP="00361DA3">
            <w:pPr>
              <w:rPr>
                <w:rFonts w:eastAsia="Times"/>
                <w:sz w:val="22"/>
                <w:szCs w:val="22"/>
              </w:rPr>
            </w:pPr>
            <w:r w:rsidRPr="004209AA">
              <w:rPr>
                <w:rFonts w:eastAsia="Times"/>
                <w:sz w:val="22"/>
                <w:szCs w:val="22"/>
              </w:rPr>
              <w:t xml:space="preserve">Care plans </w:t>
            </w:r>
          </w:p>
        </w:tc>
        <w:tc>
          <w:tcPr>
            <w:tcW w:w="4883" w:type="dxa"/>
            <w:tcBorders>
              <w:bottom w:val="single" w:sz="4" w:space="0" w:color="auto"/>
            </w:tcBorders>
          </w:tcPr>
          <w:p w:rsidR="00750F24" w:rsidRPr="004209AA" w:rsidRDefault="00750F24" w:rsidP="001F581D">
            <w:pPr>
              <w:rPr>
                <w:rFonts w:eastAsia="Times"/>
                <w:sz w:val="22"/>
                <w:szCs w:val="22"/>
              </w:rPr>
            </w:pPr>
            <w:r w:rsidRPr="004209AA">
              <w:rPr>
                <w:rFonts w:eastAsia="Times"/>
                <w:sz w:val="22"/>
                <w:szCs w:val="22"/>
              </w:rPr>
              <w:t xml:space="preserve">Audits of the KOIN care plan will be ongoing to determine how well care providers can talk about and demonstrate the plan of care. </w:t>
            </w:r>
          </w:p>
        </w:tc>
        <w:tc>
          <w:tcPr>
            <w:tcW w:w="2430" w:type="dxa"/>
            <w:tcBorders>
              <w:bottom w:val="single" w:sz="4" w:space="0" w:color="auto"/>
            </w:tcBorders>
          </w:tcPr>
          <w:p w:rsidR="00750F24" w:rsidRPr="004209AA" w:rsidRDefault="00750F24" w:rsidP="001F581D">
            <w:pPr>
              <w:rPr>
                <w:rFonts w:eastAsia="Times"/>
                <w:sz w:val="22"/>
                <w:szCs w:val="22"/>
              </w:rPr>
            </w:pPr>
            <w:r w:rsidRPr="004209AA">
              <w:rPr>
                <w:rFonts w:eastAsia="Times"/>
                <w:sz w:val="22"/>
                <w:szCs w:val="22"/>
              </w:rPr>
              <w:t>Handout</w:t>
            </w:r>
            <w:r w:rsidR="00DB13B4" w:rsidRPr="004209AA">
              <w:rPr>
                <w:rFonts w:eastAsia="Times"/>
                <w:sz w:val="22"/>
                <w:szCs w:val="22"/>
              </w:rPr>
              <w:t>s</w:t>
            </w:r>
            <w:r w:rsidRPr="004209AA">
              <w:rPr>
                <w:rFonts w:eastAsia="Times"/>
                <w:sz w:val="22"/>
                <w:szCs w:val="22"/>
              </w:rPr>
              <w:t xml:space="preserve"> are available to review guidelines and criteria. </w:t>
            </w:r>
          </w:p>
        </w:tc>
        <w:tc>
          <w:tcPr>
            <w:tcW w:w="1334" w:type="dxa"/>
            <w:tcBorders>
              <w:bottom w:val="single" w:sz="4" w:space="0" w:color="auto"/>
            </w:tcBorders>
          </w:tcPr>
          <w:p w:rsidR="00750F24" w:rsidRPr="004209AA" w:rsidRDefault="00A41E48" w:rsidP="005B3430">
            <w:pPr>
              <w:rPr>
                <w:rFonts w:ascii="Arial" w:eastAsia="Times" w:hAnsi="Arial"/>
                <w:sz w:val="22"/>
                <w:szCs w:val="22"/>
              </w:rPr>
            </w:pPr>
            <w:r w:rsidRPr="004209AA">
              <w:rPr>
                <w:rFonts w:ascii="Arial" w:eastAsia="Times" w:hAnsi="Arial"/>
                <w:sz w:val="22"/>
                <w:szCs w:val="22"/>
              </w:rPr>
              <w:t>All</w:t>
            </w:r>
          </w:p>
        </w:tc>
      </w:tr>
      <w:tr w:rsidR="00750F24" w:rsidRPr="004209AA" w:rsidTr="0063675A">
        <w:trPr>
          <w:jc w:val="center"/>
        </w:trPr>
        <w:tc>
          <w:tcPr>
            <w:tcW w:w="1988" w:type="dxa"/>
            <w:tcBorders>
              <w:bottom w:val="single" w:sz="4" w:space="0" w:color="auto"/>
            </w:tcBorders>
          </w:tcPr>
          <w:p w:rsidR="00750F24" w:rsidRPr="004209AA" w:rsidRDefault="00DB13B4" w:rsidP="00361DA3">
            <w:pPr>
              <w:rPr>
                <w:rFonts w:eastAsia="Times"/>
                <w:sz w:val="22"/>
                <w:szCs w:val="22"/>
              </w:rPr>
            </w:pPr>
            <w:r w:rsidRPr="004209AA">
              <w:rPr>
                <w:rFonts w:eastAsia="Times"/>
                <w:sz w:val="22"/>
                <w:szCs w:val="22"/>
              </w:rPr>
              <w:t>PFD</w:t>
            </w:r>
          </w:p>
        </w:tc>
        <w:tc>
          <w:tcPr>
            <w:tcW w:w="4883" w:type="dxa"/>
            <w:tcBorders>
              <w:bottom w:val="single" w:sz="4" w:space="0" w:color="auto"/>
            </w:tcBorders>
          </w:tcPr>
          <w:p w:rsidR="00750F24" w:rsidRPr="004209AA" w:rsidRDefault="00DB13B4" w:rsidP="001F581D">
            <w:pPr>
              <w:rPr>
                <w:rFonts w:eastAsia="Times"/>
                <w:sz w:val="22"/>
                <w:szCs w:val="22"/>
              </w:rPr>
            </w:pPr>
            <w:r w:rsidRPr="004209AA">
              <w:rPr>
                <w:rFonts w:eastAsia="Times"/>
                <w:sz w:val="22"/>
                <w:szCs w:val="22"/>
              </w:rPr>
              <w:t xml:space="preserve">Thanks to everyone who completed you self </w:t>
            </w:r>
            <w:proofErr w:type="spellStart"/>
            <w:r w:rsidRPr="004209AA">
              <w:rPr>
                <w:rFonts w:eastAsia="Times"/>
                <w:sz w:val="22"/>
                <w:szCs w:val="22"/>
              </w:rPr>
              <w:t>eval</w:t>
            </w:r>
            <w:proofErr w:type="spellEnd"/>
            <w:r w:rsidRPr="004209AA">
              <w:rPr>
                <w:rFonts w:eastAsia="Times"/>
                <w:sz w:val="22"/>
                <w:szCs w:val="22"/>
              </w:rPr>
              <w:t xml:space="preserve">. I will complete the remaining </w:t>
            </w:r>
            <w:proofErr w:type="spellStart"/>
            <w:r w:rsidRPr="004209AA">
              <w:rPr>
                <w:rFonts w:eastAsia="Times"/>
                <w:sz w:val="22"/>
                <w:szCs w:val="22"/>
              </w:rPr>
              <w:t>evals</w:t>
            </w:r>
            <w:proofErr w:type="spellEnd"/>
            <w:r w:rsidRPr="004209AA">
              <w:rPr>
                <w:rFonts w:eastAsia="Times"/>
                <w:sz w:val="22"/>
                <w:szCs w:val="22"/>
              </w:rPr>
              <w:t xml:space="preserve"> by March 15</w:t>
            </w:r>
            <w:r w:rsidRPr="004209AA">
              <w:rPr>
                <w:rFonts w:eastAsia="Times"/>
                <w:sz w:val="22"/>
                <w:szCs w:val="22"/>
                <w:vertAlign w:val="superscript"/>
              </w:rPr>
              <w:t>th</w:t>
            </w:r>
            <w:r w:rsidRPr="004209AA">
              <w:rPr>
                <w:rFonts w:eastAsia="Times"/>
                <w:sz w:val="22"/>
                <w:szCs w:val="22"/>
              </w:rPr>
              <w:t xml:space="preserve">. </w:t>
            </w:r>
          </w:p>
        </w:tc>
        <w:tc>
          <w:tcPr>
            <w:tcW w:w="2430" w:type="dxa"/>
            <w:tcBorders>
              <w:bottom w:val="single" w:sz="4" w:space="0" w:color="auto"/>
            </w:tcBorders>
          </w:tcPr>
          <w:p w:rsidR="00750F24" w:rsidRPr="004209AA" w:rsidRDefault="00750F24" w:rsidP="001F581D">
            <w:pPr>
              <w:rPr>
                <w:rFonts w:eastAsia="Times"/>
                <w:sz w:val="22"/>
                <w:szCs w:val="22"/>
              </w:rPr>
            </w:pPr>
          </w:p>
        </w:tc>
        <w:tc>
          <w:tcPr>
            <w:tcW w:w="1334" w:type="dxa"/>
            <w:tcBorders>
              <w:bottom w:val="single" w:sz="4" w:space="0" w:color="auto"/>
            </w:tcBorders>
          </w:tcPr>
          <w:p w:rsidR="00750F24" w:rsidRPr="004209AA" w:rsidRDefault="00A41E48" w:rsidP="005B3430">
            <w:pPr>
              <w:rPr>
                <w:rFonts w:ascii="Arial" w:eastAsia="Times" w:hAnsi="Arial"/>
                <w:sz w:val="22"/>
                <w:szCs w:val="22"/>
              </w:rPr>
            </w:pPr>
            <w:r w:rsidRPr="004209AA">
              <w:rPr>
                <w:rFonts w:ascii="Arial" w:eastAsia="Times" w:hAnsi="Arial"/>
                <w:sz w:val="22"/>
                <w:szCs w:val="22"/>
              </w:rPr>
              <w:t>All</w:t>
            </w:r>
          </w:p>
        </w:tc>
      </w:tr>
      <w:tr w:rsidR="00750F24" w:rsidRPr="004209AA" w:rsidTr="0063675A">
        <w:trPr>
          <w:jc w:val="center"/>
        </w:trPr>
        <w:tc>
          <w:tcPr>
            <w:tcW w:w="1988" w:type="dxa"/>
            <w:tcBorders>
              <w:bottom w:val="single" w:sz="4" w:space="0" w:color="auto"/>
            </w:tcBorders>
          </w:tcPr>
          <w:p w:rsidR="00750F24" w:rsidRPr="004209AA" w:rsidRDefault="00DB13B4" w:rsidP="00361DA3">
            <w:pPr>
              <w:rPr>
                <w:rFonts w:eastAsia="Times"/>
                <w:sz w:val="22"/>
                <w:szCs w:val="22"/>
              </w:rPr>
            </w:pPr>
            <w:r w:rsidRPr="004209AA">
              <w:rPr>
                <w:rFonts w:eastAsia="Times"/>
                <w:sz w:val="22"/>
                <w:szCs w:val="22"/>
              </w:rPr>
              <w:t xml:space="preserve">Med rec issues </w:t>
            </w:r>
          </w:p>
        </w:tc>
        <w:tc>
          <w:tcPr>
            <w:tcW w:w="4883" w:type="dxa"/>
            <w:tcBorders>
              <w:bottom w:val="single" w:sz="4" w:space="0" w:color="auto"/>
            </w:tcBorders>
          </w:tcPr>
          <w:p w:rsidR="00750F24" w:rsidRPr="004209AA" w:rsidRDefault="00DB13B4" w:rsidP="001F581D">
            <w:pPr>
              <w:rPr>
                <w:rFonts w:eastAsia="Times"/>
                <w:sz w:val="22"/>
                <w:szCs w:val="22"/>
              </w:rPr>
            </w:pPr>
            <w:r w:rsidRPr="004209AA">
              <w:rPr>
                <w:rFonts w:eastAsia="Times"/>
                <w:sz w:val="22"/>
                <w:szCs w:val="22"/>
              </w:rPr>
              <w:t xml:space="preserve">We are still missing med recs. All admission med rec should be updated in the CIS. Upon discharge the med rec should be updated again. When you receive the discharge med rec that becomes the patient’s copy at discharge, be sure to double check all medications are entered correctly and are appropriate for the patient. </w:t>
            </w:r>
          </w:p>
        </w:tc>
        <w:tc>
          <w:tcPr>
            <w:tcW w:w="2430" w:type="dxa"/>
            <w:tcBorders>
              <w:bottom w:val="single" w:sz="4" w:space="0" w:color="auto"/>
            </w:tcBorders>
          </w:tcPr>
          <w:p w:rsidR="00750F24" w:rsidRPr="004209AA" w:rsidRDefault="00DB13B4" w:rsidP="001F581D">
            <w:pPr>
              <w:rPr>
                <w:rFonts w:eastAsia="Times"/>
                <w:sz w:val="22"/>
                <w:szCs w:val="22"/>
              </w:rPr>
            </w:pPr>
            <w:r w:rsidRPr="004209AA">
              <w:rPr>
                <w:rFonts w:eastAsia="Times"/>
                <w:sz w:val="22"/>
                <w:szCs w:val="22"/>
              </w:rPr>
              <w:t xml:space="preserve">Double check, double check to avoid any adverse medications errors </w:t>
            </w:r>
          </w:p>
        </w:tc>
        <w:tc>
          <w:tcPr>
            <w:tcW w:w="1334" w:type="dxa"/>
            <w:tcBorders>
              <w:bottom w:val="single" w:sz="4" w:space="0" w:color="auto"/>
            </w:tcBorders>
          </w:tcPr>
          <w:p w:rsidR="00750F24" w:rsidRPr="004209AA" w:rsidRDefault="00DB13B4" w:rsidP="005B3430">
            <w:pPr>
              <w:rPr>
                <w:rFonts w:ascii="Arial" w:eastAsia="Times" w:hAnsi="Arial"/>
                <w:sz w:val="22"/>
                <w:szCs w:val="22"/>
              </w:rPr>
            </w:pPr>
            <w:r w:rsidRPr="004209AA">
              <w:rPr>
                <w:rFonts w:ascii="Arial" w:eastAsia="Times" w:hAnsi="Arial"/>
                <w:sz w:val="22"/>
                <w:szCs w:val="22"/>
              </w:rPr>
              <w:t xml:space="preserve">UC/RN </w:t>
            </w:r>
          </w:p>
        </w:tc>
      </w:tr>
      <w:tr w:rsidR="00DB13B4" w:rsidRPr="004209AA" w:rsidTr="0063675A">
        <w:trPr>
          <w:jc w:val="center"/>
        </w:trPr>
        <w:tc>
          <w:tcPr>
            <w:tcW w:w="1988" w:type="dxa"/>
            <w:tcBorders>
              <w:bottom w:val="single" w:sz="4" w:space="0" w:color="auto"/>
            </w:tcBorders>
          </w:tcPr>
          <w:p w:rsidR="00DB13B4" w:rsidRPr="004209AA" w:rsidRDefault="00DB13B4" w:rsidP="00361DA3">
            <w:pPr>
              <w:rPr>
                <w:rFonts w:eastAsia="Times"/>
                <w:sz w:val="22"/>
                <w:szCs w:val="22"/>
              </w:rPr>
            </w:pPr>
            <w:r w:rsidRPr="004209AA">
              <w:rPr>
                <w:rFonts w:eastAsia="Times"/>
                <w:sz w:val="22"/>
                <w:szCs w:val="22"/>
              </w:rPr>
              <w:t xml:space="preserve">Flu vaccination declination/LEARN module </w:t>
            </w:r>
          </w:p>
        </w:tc>
        <w:tc>
          <w:tcPr>
            <w:tcW w:w="4883" w:type="dxa"/>
            <w:tcBorders>
              <w:bottom w:val="single" w:sz="4" w:space="0" w:color="auto"/>
            </w:tcBorders>
          </w:tcPr>
          <w:p w:rsidR="00DB13B4" w:rsidRPr="004209AA" w:rsidRDefault="001634DD" w:rsidP="001634DD">
            <w:pPr>
              <w:rPr>
                <w:rFonts w:eastAsia="Times"/>
                <w:sz w:val="22"/>
                <w:szCs w:val="22"/>
              </w:rPr>
            </w:pPr>
            <w:r w:rsidRPr="004209AA">
              <w:rPr>
                <w:rFonts w:eastAsia="Times"/>
                <w:sz w:val="22"/>
                <w:szCs w:val="22"/>
              </w:rPr>
              <w:t>Any</w:t>
            </w:r>
            <w:r w:rsidR="00DB13B4" w:rsidRPr="004209AA">
              <w:rPr>
                <w:rFonts w:eastAsia="Times"/>
                <w:sz w:val="22"/>
                <w:szCs w:val="22"/>
              </w:rPr>
              <w:t>one who declined</w:t>
            </w:r>
            <w:r w:rsidRPr="004209AA">
              <w:rPr>
                <w:rFonts w:eastAsia="Times"/>
                <w:sz w:val="22"/>
                <w:szCs w:val="22"/>
              </w:rPr>
              <w:t xml:space="preserve"> the influenza vaccination is required to complete a LEARN module. The module will be assigned to you with a deadline. The </w:t>
            </w:r>
            <w:r w:rsidR="00AD7E15" w:rsidRPr="004209AA">
              <w:rPr>
                <w:rFonts w:eastAsia="Times"/>
                <w:sz w:val="22"/>
                <w:szCs w:val="22"/>
              </w:rPr>
              <w:t xml:space="preserve">policy may also change in the coming year to require any associate who declines the flu vaccination to wear PPE while on duty. This includes a mask. </w:t>
            </w:r>
          </w:p>
        </w:tc>
        <w:tc>
          <w:tcPr>
            <w:tcW w:w="2430" w:type="dxa"/>
            <w:tcBorders>
              <w:bottom w:val="single" w:sz="4" w:space="0" w:color="auto"/>
            </w:tcBorders>
          </w:tcPr>
          <w:p w:rsidR="00DB13B4" w:rsidRPr="004209AA" w:rsidRDefault="00AD7E15" w:rsidP="001F581D">
            <w:pPr>
              <w:rPr>
                <w:rFonts w:eastAsia="Times"/>
                <w:sz w:val="22"/>
                <w:szCs w:val="22"/>
              </w:rPr>
            </w:pPr>
            <w:r w:rsidRPr="004209AA">
              <w:rPr>
                <w:rFonts w:eastAsia="Times"/>
                <w:sz w:val="22"/>
                <w:szCs w:val="22"/>
              </w:rPr>
              <w:t>As health care providers, it is our responsibility to protect ourselves and our patients.</w:t>
            </w:r>
          </w:p>
        </w:tc>
        <w:tc>
          <w:tcPr>
            <w:tcW w:w="1334" w:type="dxa"/>
            <w:tcBorders>
              <w:bottom w:val="single" w:sz="4" w:space="0" w:color="auto"/>
            </w:tcBorders>
          </w:tcPr>
          <w:p w:rsidR="00DB13B4" w:rsidRPr="004209AA" w:rsidRDefault="00A41E48" w:rsidP="005B3430">
            <w:pPr>
              <w:rPr>
                <w:rFonts w:ascii="Arial" w:eastAsia="Times" w:hAnsi="Arial"/>
                <w:sz w:val="22"/>
                <w:szCs w:val="22"/>
              </w:rPr>
            </w:pPr>
            <w:r w:rsidRPr="004209AA">
              <w:rPr>
                <w:rFonts w:ascii="Arial" w:eastAsia="Times" w:hAnsi="Arial"/>
                <w:sz w:val="22"/>
                <w:szCs w:val="22"/>
              </w:rPr>
              <w:t>All</w:t>
            </w:r>
          </w:p>
        </w:tc>
      </w:tr>
      <w:tr w:rsidR="00DB13B4" w:rsidRPr="004209AA" w:rsidTr="0063675A">
        <w:trPr>
          <w:jc w:val="center"/>
        </w:trPr>
        <w:tc>
          <w:tcPr>
            <w:tcW w:w="1988" w:type="dxa"/>
            <w:tcBorders>
              <w:bottom w:val="single" w:sz="4" w:space="0" w:color="auto"/>
            </w:tcBorders>
          </w:tcPr>
          <w:p w:rsidR="00DB13B4" w:rsidRPr="004209AA" w:rsidRDefault="00AD7E15" w:rsidP="00361DA3">
            <w:pPr>
              <w:rPr>
                <w:rFonts w:eastAsia="Times"/>
                <w:sz w:val="22"/>
                <w:szCs w:val="22"/>
              </w:rPr>
            </w:pPr>
            <w:r w:rsidRPr="004209AA">
              <w:rPr>
                <w:rFonts w:eastAsia="Times"/>
                <w:sz w:val="22"/>
                <w:szCs w:val="22"/>
              </w:rPr>
              <w:t xml:space="preserve">LEARN modules </w:t>
            </w:r>
          </w:p>
        </w:tc>
        <w:tc>
          <w:tcPr>
            <w:tcW w:w="4883" w:type="dxa"/>
            <w:tcBorders>
              <w:bottom w:val="single" w:sz="4" w:space="0" w:color="auto"/>
            </w:tcBorders>
          </w:tcPr>
          <w:p w:rsidR="00DB13B4" w:rsidRPr="004209AA" w:rsidRDefault="00AD7E15" w:rsidP="001F581D">
            <w:pPr>
              <w:rPr>
                <w:rFonts w:eastAsia="Times"/>
                <w:sz w:val="22"/>
                <w:szCs w:val="22"/>
              </w:rPr>
            </w:pPr>
            <w:r w:rsidRPr="004209AA">
              <w:rPr>
                <w:rFonts w:eastAsia="Times"/>
                <w:sz w:val="22"/>
                <w:szCs w:val="22"/>
              </w:rPr>
              <w:t xml:space="preserve">Please complete all LEARN modules prior to the due date. Suspension will occur if late with the possibility of termination if not complete within 2 weeks. Late modules may also affect </w:t>
            </w:r>
            <w:r w:rsidR="005B0BC4" w:rsidRPr="004209AA">
              <w:rPr>
                <w:rFonts w:eastAsia="Times"/>
                <w:sz w:val="22"/>
                <w:szCs w:val="22"/>
              </w:rPr>
              <w:t xml:space="preserve">the pay-for-performance. </w:t>
            </w:r>
          </w:p>
        </w:tc>
        <w:tc>
          <w:tcPr>
            <w:tcW w:w="2430" w:type="dxa"/>
            <w:tcBorders>
              <w:bottom w:val="single" w:sz="4" w:space="0" w:color="auto"/>
            </w:tcBorders>
          </w:tcPr>
          <w:p w:rsidR="00DB13B4" w:rsidRPr="004209AA" w:rsidRDefault="00DB13B4" w:rsidP="001F581D">
            <w:pPr>
              <w:rPr>
                <w:rFonts w:eastAsia="Times"/>
                <w:sz w:val="22"/>
                <w:szCs w:val="22"/>
              </w:rPr>
            </w:pPr>
          </w:p>
        </w:tc>
        <w:tc>
          <w:tcPr>
            <w:tcW w:w="1334" w:type="dxa"/>
            <w:tcBorders>
              <w:bottom w:val="single" w:sz="4" w:space="0" w:color="auto"/>
            </w:tcBorders>
          </w:tcPr>
          <w:p w:rsidR="00DB13B4" w:rsidRPr="004209AA" w:rsidRDefault="005B0BC4" w:rsidP="005B3430">
            <w:pPr>
              <w:rPr>
                <w:rFonts w:ascii="Arial" w:eastAsia="Times" w:hAnsi="Arial"/>
                <w:sz w:val="22"/>
                <w:szCs w:val="22"/>
              </w:rPr>
            </w:pPr>
            <w:r w:rsidRPr="004209AA">
              <w:rPr>
                <w:rFonts w:ascii="Arial" w:eastAsia="Times" w:hAnsi="Arial"/>
                <w:sz w:val="22"/>
                <w:szCs w:val="22"/>
              </w:rPr>
              <w:t>All</w:t>
            </w:r>
          </w:p>
        </w:tc>
      </w:tr>
      <w:tr w:rsidR="003E722E" w:rsidRPr="004209AA" w:rsidTr="0063675A">
        <w:trPr>
          <w:jc w:val="center"/>
        </w:trPr>
        <w:tc>
          <w:tcPr>
            <w:tcW w:w="1988" w:type="dxa"/>
            <w:tcBorders>
              <w:bottom w:val="single" w:sz="4" w:space="0" w:color="auto"/>
            </w:tcBorders>
          </w:tcPr>
          <w:p w:rsidR="003E722E" w:rsidRPr="004209AA" w:rsidRDefault="001F581D" w:rsidP="00361DA3">
            <w:pPr>
              <w:rPr>
                <w:rFonts w:eastAsia="Times"/>
                <w:sz w:val="22"/>
                <w:szCs w:val="22"/>
              </w:rPr>
            </w:pPr>
            <w:r w:rsidRPr="004209AA">
              <w:rPr>
                <w:rFonts w:eastAsia="Times"/>
                <w:sz w:val="22"/>
                <w:szCs w:val="22"/>
              </w:rPr>
              <w:t>BCMV- bar code medication verification</w:t>
            </w:r>
          </w:p>
        </w:tc>
        <w:tc>
          <w:tcPr>
            <w:tcW w:w="4883" w:type="dxa"/>
            <w:tcBorders>
              <w:bottom w:val="single" w:sz="4" w:space="0" w:color="auto"/>
            </w:tcBorders>
          </w:tcPr>
          <w:p w:rsidR="00716B33" w:rsidRPr="004209AA" w:rsidRDefault="001F581D" w:rsidP="001F581D">
            <w:pPr>
              <w:rPr>
                <w:rFonts w:eastAsia="Times"/>
                <w:sz w:val="22"/>
                <w:szCs w:val="22"/>
              </w:rPr>
            </w:pPr>
            <w:r w:rsidRPr="004209AA">
              <w:rPr>
                <w:rFonts w:eastAsia="Times"/>
                <w:sz w:val="22"/>
                <w:szCs w:val="22"/>
              </w:rPr>
              <w:t>Scanning medications is not optional. Every patient and every medication must be scanned every time. We have experienced a couple of significant medications errors that would have been prevented through BCMV</w:t>
            </w:r>
          </w:p>
        </w:tc>
        <w:tc>
          <w:tcPr>
            <w:tcW w:w="2430" w:type="dxa"/>
            <w:tcBorders>
              <w:bottom w:val="single" w:sz="4" w:space="0" w:color="auto"/>
            </w:tcBorders>
          </w:tcPr>
          <w:p w:rsidR="003E722E" w:rsidRPr="004209AA" w:rsidRDefault="001F581D" w:rsidP="005B0BC4">
            <w:pPr>
              <w:rPr>
                <w:rFonts w:eastAsia="Times"/>
                <w:sz w:val="22"/>
                <w:szCs w:val="22"/>
              </w:rPr>
            </w:pPr>
            <w:r w:rsidRPr="004209AA">
              <w:rPr>
                <w:rFonts w:eastAsia="Times"/>
                <w:sz w:val="22"/>
                <w:szCs w:val="22"/>
              </w:rPr>
              <w:t xml:space="preserve">I will </w:t>
            </w:r>
            <w:r w:rsidR="005B0BC4" w:rsidRPr="004209AA">
              <w:rPr>
                <w:rFonts w:eastAsia="Times"/>
                <w:sz w:val="22"/>
                <w:szCs w:val="22"/>
              </w:rPr>
              <w:t xml:space="preserve">begin </w:t>
            </w:r>
            <w:r w:rsidRPr="004209AA">
              <w:rPr>
                <w:rFonts w:eastAsia="Times"/>
                <w:sz w:val="22"/>
                <w:szCs w:val="22"/>
              </w:rPr>
              <w:t>review</w:t>
            </w:r>
            <w:r w:rsidR="005B0BC4" w:rsidRPr="004209AA">
              <w:rPr>
                <w:rFonts w:eastAsia="Times"/>
                <w:sz w:val="22"/>
                <w:szCs w:val="22"/>
              </w:rPr>
              <w:t>ing</w:t>
            </w:r>
            <w:r w:rsidRPr="004209AA">
              <w:rPr>
                <w:rFonts w:eastAsia="Times"/>
                <w:sz w:val="22"/>
                <w:szCs w:val="22"/>
              </w:rPr>
              <w:t xml:space="preserve"> scanning rates daily. Any scan rate below 94% will </w:t>
            </w:r>
            <w:r w:rsidR="005B0BC4" w:rsidRPr="004209AA">
              <w:rPr>
                <w:rFonts w:eastAsia="Times"/>
                <w:sz w:val="22"/>
                <w:szCs w:val="22"/>
              </w:rPr>
              <w:t xml:space="preserve">receive a reminder note. </w:t>
            </w:r>
          </w:p>
        </w:tc>
        <w:tc>
          <w:tcPr>
            <w:tcW w:w="1334" w:type="dxa"/>
            <w:tcBorders>
              <w:bottom w:val="single" w:sz="4" w:space="0" w:color="auto"/>
            </w:tcBorders>
          </w:tcPr>
          <w:p w:rsidR="003E722E" w:rsidRPr="004209AA" w:rsidRDefault="00A41E48" w:rsidP="005B3430">
            <w:pPr>
              <w:rPr>
                <w:rFonts w:ascii="Arial" w:eastAsia="Times" w:hAnsi="Arial"/>
                <w:sz w:val="22"/>
                <w:szCs w:val="22"/>
              </w:rPr>
            </w:pPr>
            <w:r w:rsidRPr="004209AA">
              <w:rPr>
                <w:rFonts w:ascii="Arial" w:eastAsia="Times" w:hAnsi="Arial"/>
                <w:sz w:val="22"/>
                <w:szCs w:val="22"/>
              </w:rPr>
              <w:t>RNs</w:t>
            </w:r>
          </w:p>
        </w:tc>
      </w:tr>
    </w:tbl>
    <w:p w:rsidR="00750F24" w:rsidRDefault="00750F24" w:rsidP="00E1717B">
      <w:pPr>
        <w:rPr>
          <w:rFonts w:ascii="Arial" w:hAnsi="Arial" w:cs="Arial"/>
          <w:b/>
          <w:color w:val="008000"/>
        </w:rPr>
      </w:pPr>
    </w:p>
    <w:p w:rsidR="00750F24" w:rsidRDefault="00750F24" w:rsidP="00E1717B">
      <w:pPr>
        <w:rPr>
          <w:rFonts w:ascii="Arial" w:hAnsi="Arial" w:cs="Arial"/>
          <w:b/>
          <w:color w:val="008000"/>
        </w:rPr>
      </w:pPr>
    </w:p>
    <w:p w:rsidR="00750F24" w:rsidRPr="00750F24" w:rsidRDefault="00750F24" w:rsidP="00E1717B">
      <w:pPr>
        <w:rPr>
          <w:rFonts w:ascii="Arial" w:hAnsi="Arial" w:cs="Arial"/>
          <w:b/>
          <w:color w:val="008000"/>
        </w:rPr>
      </w:pPr>
    </w:p>
    <w:sectPr w:rsidR="00750F24" w:rsidRPr="00750F24" w:rsidSect="0063675A">
      <w:pgSz w:w="12240" w:h="15840"/>
      <w:pgMar w:top="432" w:right="432"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519"/>
    <w:multiLevelType w:val="hybridMultilevel"/>
    <w:tmpl w:val="8ED28D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77AAE"/>
    <w:multiLevelType w:val="hybridMultilevel"/>
    <w:tmpl w:val="3C969FD6"/>
    <w:lvl w:ilvl="0" w:tplc="C29EE29C">
      <w:start w:val="1"/>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F09CD"/>
    <w:multiLevelType w:val="hybridMultilevel"/>
    <w:tmpl w:val="7A9C2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0748E"/>
    <w:multiLevelType w:val="hybridMultilevel"/>
    <w:tmpl w:val="7AAA336A"/>
    <w:lvl w:ilvl="0" w:tplc="7708D746">
      <w:numFmt w:val="bullet"/>
      <w:lvlText w:val=""/>
      <w:lvlJc w:val="left"/>
      <w:pPr>
        <w:tabs>
          <w:tab w:val="num" w:pos="675"/>
        </w:tabs>
        <w:ind w:left="675" w:hanging="360"/>
      </w:pPr>
      <w:rPr>
        <w:rFonts w:ascii="Symbol" w:eastAsia="Times" w:hAnsi="Symbol"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4">
    <w:nsid w:val="28213D0A"/>
    <w:multiLevelType w:val="hybridMultilevel"/>
    <w:tmpl w:val="51A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B4EE4"/>
    <w:multiLevelType w:val="hybridMultilevel"/>
    <w:tmpl w:val="98FC69D8"/>
    <w:lvl w:ilvl="0" w:tplc="1876C57C">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04EBD"/>
    <w:multiLevelType w:val="hybridMultilevel"/>
    <w:tmpl w:val="06A0955E"/>
    <w:lvl w:ilvl="0" w:tplc="0409000F">
      <w:start w:val="1"/>
      <w:numFmt w:val="decimal"/>
      <w:lvlText w:val="%1."/>
      <w:lvlJc w:val="left"/>
      <w:pPr>
        <w:tabs>
          <w:tab w:val="num" w:pos="720"/>
        </w:tabs>
        <w:ind w:left="720" w:hanging="360"/>
      </w:pPr>
      <w:rPr>
        <w:rFonts w:hint="default"/>
      </w:rPr>
    </w:lvl>
    <w:lvl w:ilvl="1" w:tplc="E69C6C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4E4E24"/>
    <w:multiLevelType w:val="hybridMultilevel"/>
    <w:tmpl w:val="5D4E09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D3177"/>
    <w:multiLevelType w:val="hybridMultilevel"/>
    <w:tmpl w:val="E390B8F8"/>
    <w:lvl w:ilvl="0" w:tplc="03AAFF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245905"/>
    <w:multiLevelType w:val="hybridMultilevel"/>
    <w:tmpl w:val="C98A56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BA95913"/>
    <w:multiLevelType w:val="hybridMultilevel"/>
    <w:tmpl w:val="DEE0BC28"/>
    <w:lvl w:ilvl="0" w:tplc="AA784322">
      <w:numFmt w:val="bullet"/>
      <w:lvlText w:val=""/>
      <w:lvlJc w:val="left"/>
      <w:pPr>
        <w:ind w:left="810" w:hanging="360"/>
      </w:pPr>
      <w:rPr>
        <w:rFonts w:ascii="Symbol" w:eastAsia="Times"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67A491E"/>
    <w:multiLevelType w:val="hybridMultilevel"/>
    <w:tmpl w:val="8A847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B0451"/>
    <w:multiLevelType w:val="hybridMultilevel"/>
    <w:tmpl w:val="CF8E1E9A"/>
    <w:lvl w:ilvl="0" w:tplc="D264F954">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834F56"/>
    <w:multiLevelType w:val="hybridMultilevel"/>
    <w:tmpl w:val="8932E0E8"/>
    <w:lvl w:ilvl="0" w:tplc="196CB66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6DBC0B3E"/>
    <w:multiLevelType w:val="hybridMultilevel"/>
    <w:tmpl w:val="1C88F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30664B"/>
    <w:multiLevelType w:val="hybridMultilevel"/>
    <w:tmpl w:val="32FA0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3312C"/>
    <w:multiLevelType w:val="hybridMultilevel"/>
    <w:tmpl w:val="449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46FBE"/>
    <w:multiLevelType w:val="hybridMultilevel"/>
    <w:tmpl w:val="403A41A2"/>
    <w:lvl w:ilvl="0" w:tplc="D264F95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E4868"/>
    <w:multiLevelType w:val="hybridMultilevel"/>
    <w:tmpl w:val="EC8AE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5"/>
  </w:num>
  <w:num w:numId="4">
    <w:abstractNumId w:val="6"/>
  </w:num>
  <w:num w:numId="5">
    <w:abstractNumId w:val="0"/>
  </w:num>
  <w:num w:numId="6">
    <w:abstractNumId w:val="3"/>
  </w:num>
  <w:num w:numId="7">
    <w:abstractNumId w:val="7"/>
  </w:num>
  <w:num w:numId="8">
    <w:abstractNumId w:val="11"/>
  </w:num>
  <w:num w:numId="9">
    <w:abstractNumId w:val="14"/>
  </w:num>
  <w:num w:numId="10">
    <w:abstractNumId w:val="8"/>
  </w:num>
  <w:num w:numId="11">
    <w:abstractNumId w:val="2"/>
  </w:num>
  <w:num w:numId="12">
    <w:abstractNumId w:val="9"/>
  </w:num>
  <w:num w:numId="13">
    <w:abstractNumId w:val="10"/>
  </w:num>
  <w:num w:numId="14">
    <w:abstractNumId w:val="16"/>
  </w:num>
  <w:num w:numId="15">
    <w:abstractNumId w:val="12"/>
  </w:num>
  <w:num w:numId="16">
    <w:abstractNumId w:val="17"/>
  </w:num>
  <w:num w:numId="17">
    <w:abstractNumId w:val="13"/>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5B4D71"/>
    <w:rsid w:val="00000220"/>
    <w:rsid w:val="0000246D"/>
    <w:rsid w:val="0003798E"/>
    <w:rsid w:val="000435ED"/>
    <w:rsid w:val="000501B1"/>
    <w:rsid w:val="00065B11"/>
    <w:rsid w:val="00070122"/>
    <w:rsid w:val="000A118D"/>
    <w:rsid w:val="000A1FC8"/>
    <w:rsid w:val="000A2568"/>
    <w:rsid w:val="000B0625"/>
    <w:rsid w:val="000B0812"/>
    <w:rsid w:val="000B1735"/>
    <w:rsid w:val="000B7825"/>
    <w:rsid w:val="000C3CDF"/>
    <w:rsid w:val="000C79A6"/>
    <w:rsid w:val="000D4784"/>
    <w:rsid w:val="000D625F"/>
    <w:rsid w:val="000E7D32"/>
    <w:rsid w:val="00113F2B"/>
    <w:rsid w:val="0011426C"/>
    <w:rsid w:val="001143D8"/>
    <w:rsid w:val="00142AB7"/>
    <w:rsid w:val="00144433"/>
    <w:rsid w:val="00150E7D"/>
    <w:rsid w:val="001562EE"/>
    <w:rsid w:val="001634DD"/>
    <w:rsid w:val="0016614C"/>
    <w:rsid w:val="00186140"/>
    <w:rsid w:val="00193E08"/>
    <w:rsid w:val="00194CB7"/>
    <w:rsid w:val="001A2522"/>
    <w:rsid w:val="001A5597"/>
    <w:rsid w:val="001B061B"/>
    <w:rsid w:val="001B1F52"/>
    <w:rsid w:val="001C2819"/>
    <w:rsid w:val="001C2B2D"/>
    <w:rsid w:val="001C2FEB"/>
    <w:rsid w:val="001C539E"/>
    <w:rsid w:val="001C69D2"/>
    <w:rsid w:val="001D0425"/>
    <w:rsid w:val="001D2E6E"/>
    <w:rsid w:val="001D6CB2"/>
    <w:rsid w:val="001E4005"/>
    <w:rsid w:val="001E40E8"/>
    <w:rsid w:val="001E50DD"/>
    <w:rsid w:val="001E5FB6"/>
    <w:rsid w:val="001E79E8"/>
    <w:rsid w:val="001F06C4"/>
    <w:rsid w:val="001F1573"/>
    <w:rsid w:val="001F39E2"/>
    <w:rsid w:val="001F460A"/>
    <w:rsid w:val="001F581D"/>
    <w:rsid w:val="002004F7"/>
    <w:rsid w:val="00210906"/>
    <w:rsid w:val="002218B1"/>
    <w:rsid w:val="00226BFD"/>
    <w:rsid w:val="00226D4B"/>
    <w:rsid w:val="00226DC4"/>
    <w:rsid w:val="0022712D"/>
    <w:rsid w:val="00242839"/>
    <w:rsid w:val="002559BF"/>
    <w:rsid w:val="002605E6"/>
    <w:rsid w:val="0027044D"/>
    <w:rsid w:val="00274B8A"/>
    <w:rsid w:val="0027668F"/>
    <w:rsid w:val="002809D3"/>
    <w:rsid w:val="00281E8B"/>
    <w:rsid w:val="00293CC0"/>
    <w:rsid w:val="00295A04"/>
    <w:rsid w:val="00296D1B"/>
    <w:rsid w:val="002A0A94"/>
    <w:rsid w:val="002A3D6E"/>
    <w:rsid w:val="002A497B"/>
    <w:rsid w:val="002A5073"/>
    <w:rsid w:val="002A558B"/>
    <w:rsid w:val="002A56A4"/>
    <w:rsid w:val="002C5C0A"/>
    <w:rsid w:val="002C74F0"/>
    <w:rsid w:val="002D5070"/>
    <w:rsid w:val="002E4593"/>
    <w:rsid w:val="002F5331"/>
    <w:rsid w:val="002F6147"/>
    <w:rsid w:val="003026C8"/>
    <w:rsid w:val="00306185"/>
    <w:rsid w:val="003075E9"/>
    <w:rsid w:val="00313BE2"/>
    <w:rsid w:val="0031412D"/>
    <w:rsid w:val="00315988"/>
    <w:rsid w:val="00317DD1"/>
    <w:rsid w:val="00323CE3"/>
    <w:rsid w:val="00324EC3"/>
    <w:rsid w:val="00327496"/>
    <w:rsid w:val="003310F8"/>
    <w:rsid w:val="00334305"/>
    <w:rsid w:val="003345A4"/>
    <w:rsid w:val="00337782"/>
    <w:rsid w:val="003402A6"/>
    <w:rsid w:val="00340DF3"/>
    <w:rsid w:val="00345957"/>
    <w:rsid w:val="00352E63"/>
    <w:rsid w:val="003575F8"/>
    <w:rsid w:val="00357944"/>
    <w:rsid w:val="00361DA3"/>
    <w:rsid w:val="00375194"/>
    <w:rsid w:val="00387978"/>
    <w:rsid w:val="003935C8"/>
    <w:rsid w:val="003A084E"/>
    <w:rsid w:val="003A3F56"/>
    <w:rsid w:val="003B1D74"/>
    <w:rsid w:val="003B1E57"/>
    <w:rsid w:val="003C38DD"/>
    <w:rsid w:val="003E0D58"/>
    <w:rsid w:val="003E25FD"/>
    <w:rsid w:val="003E2B76"/>
    <w:rsid w:val="003E55C3"/>
    <w:rsid w:val="003E69E3"/>
    <w:rsid w:val="003E722E"/>
    <w:rsid w:val="003F2FB7"/>
    <w:rsid w:val="003F6071"/>
    <w:rsid w:val="003F6BA5"/>
    <w:rsid w:val="00401AFC"/>
    <w:rsid w:val="00406EF6"/>
    <w:rsid w:val="004209AA"/>
    <w:rsid w:val="0042389F"/>
    <w:rsid w:val="00430071"/>
    <w:rsid w:val="00437CCF"/>
    <w:rsid w:val="00443E8C"/>
    <w:rsid w:val="0045042B"/>
    <w:rsid w:val="00452989"/>
    <w:rsid w:val="0045498C"/>
    <w:rsid w:val="00455C39"/>
    <w:rsid w:val="00460DE8"/>
    <w:rsid w:val="00461F12"/>
    <w:rsid w:val="00462459"/>
    <w:rsid w:val="00464E82"/>
    <w:rsid w:val="00465E7D"/>
    <w:rsid w:val="00476719"/>
    <w:rsid w:val="00476F84"/>
    <w:rsid w:val="004921D1"/>
    <w:rsid w:val="00497C8C"/>
    <w:rsid w:val="004A3B93"/>
    <w:rsid w:val="004A4AFC"/>
    <w:rsid w:val="004B08B8"/>
    <w:rsid w:val="004B39B5"/>
    <w:rsid w:val="004C290A"/>
    <w:rsid w:val="004E5091"/>
    <w:rsid w:val="004F435A"/>
    <w:rsid w:val="00503513"/>
    <w:rsid w:val="00503DE1"/>
    <w:rsid w:val="005110DF"/>
    <w:rsid w:val="005155DE"/>
    <w:rsid w:val="00522587"/>
    <w:rsid w:val="005242B8"/>
    <w:rsid w:val="00531754"/>
    <w:rsid w:val="00532DA4"/>
    <w:rsid w:val="005400F5"/>
    <w:rsid w:val="005442FD"/>
    <w:rsid w:val="005443D3"/>
    <w:rsid w:val="00546507"/>
    <w:rsid w:val="005617E9"/>
    <w:rsid w:val="0058579C"/>
    <w:rsid w:val="00585BA1"/>
    <w:rsid w:val="00586D96"/>
    <w:rsid w:val="0059258C"/>
    <w:rsid w:val="00597FB2"/>
    <w:rsid w:val="005A2812"/>
    <w:rsid w:val="005A3639"/>
    <w:rsid w:val="005A6D43"/>
    <w:rsid w:val="005B0BC4"/>
    <w:rsid w:val="005B3430"/>
    <w:rsid w:val="005B4D71"/>
    <w:rsid w:val="005C2790"/>
    <w:rsid w:val="005D0263"/>
    <w:rsid w:val="005E20F1"/>
    <w:rsid w:val="005F0660"/>
    <w:rsid w:val="005F0E64"/>
    <w:rsid w:val="005F2541"/>
    <w:rsid w:val="0060189C"/>
    <w:rsid w:val="00601EB2"/>
    <w:rsid w:val="00615EB0"/>
    <w:rsid w:val="006230A5"/>
    <w:rsid w:val="00625123"/>
    <w:rsid w:val="00625BA4"/>
    <w:rsid w:val="00632245"/>
    <w:rsid w:val="006341C0"/>
    <w:rsid w:val="00635B4F"/>
    <w:rsid w:val="0063675A"/>
    <w:rsid w:val="006421B1"/>
    <w:rsid w:val="00644A20"/>
    <w:rsid w:val="006451CC"/>
    <w:rsid w:val="00647C02"/>
    <w:rsid w:val="0065605E"/>
    <w:rsid w:val="00663E14"/>
    <w:rsid w:val="006671AC"/>
    <w:rsid w:val="006774B0"/>
    <w:rsid w:val="00687731"/>
    <w:rsid w:val="006A120F"/>
    <w:rsid w:val="006A5BD1"/>
    <w:rsid w:val="006A68E2"/>
    <w:rsid w:val="006B0BF7"/>
    <w:rsid w:val="006B6A1A"/>
    <w:rsid w:val="006B6A3F"/>
    <w:rsid w:val="006C0E1A"/>
    <w:rsid w:val="006D18FE"/>
    <w:rsid w:val="006E0EA8"/>
    <w:rsid w:val="006F2133"/>
    <w:rsid w:val="007002FB"/>
    <w:rsid w:val="00700365"/>
    <w:rsid w:val="00702ACE"/>
    <w:rsid w:val="007039DB"/>
    <w:rsid w:val="00712E9B"/>
    <w:rsid w:val="00716B33"/>
    <w:rsid w:val="00721BFD"/>
    <w:rsid w:val="00734515"/>
    <w:rsid w:val="00735C5A"/>
    <w:rsid w:val="00736DE1"/>
    <w:rsid w:val="007504AA"/>
    <w:rsid w:val="00750F24"/>
    <w:rsid w:val="007654A2"/>
    <w:rsid w:val="00774547"/>
    <w:rsid w:val="007770A9"/>
    <w:rsid w:val="00791E2E"/>
    <w:rsid w:val="00793B6B"/>
    <w:rsid w:val="0079468C"/>
    <w:rsid w:val="007A3606"/>
    <w:rsid w:val="007A593F"/>
    <w:rsid w:val="007C201C"/>
    <w:rsid w:val="007D62F2"/>
    <w:rsid w:val="008010AD"/>
    <w:rsid w:val="00812F9A"/>
    <w:rsid w:val="008177C1"/>
    <w:rsid w:val="008268B5"/>
    <w:rsid w:val="00835C5B"/>
    <w:rsid w:val="00836A04"/>
    <w:rsid w:val="00841C5B"/>
    <w:rsid w:val="00846BE9"/>
    <w:rsid w:val="00846C4E"/>
    <w:rsid w:val="008536DC"/>
    <w:rsid w:val="00860F49"/>
    <w:rsid w:val="008664DE"/>
    <w:rsid w:val="00866A6E"/>
    <w:rsid w:val="008802BF"/>
    <w:rsid w:val="00885FA4"/>
    <w:rsid w:val="00893DA1"/>
    <w:rsid w:val="008A6885"/>
    <w:rsid w:val="008B5BC3"/>
    <w:rsid w:val="008B7678"/>
    <w:rsid w:val="008C0D1A"/>
    <w:rsid w:val="008C405D"/>
    <w:rsid w:val="008E0536"/>
    <w:rsid w:val="008F06C5"/>
    <w:rsid w:val="008F31A2"/>
    <w:rsid w:val="00904432"/>
    <w:rsid w:val="00911953"/>
    <w:rsid w:val="00922332"/>
    <w:rsid w:val="0093126F"/>
    <w:rsid w:val="009463EF"/>
    <w:rsid w:val="0096100E"/>
    <w:rsid w:val="00965782"/>
    <w:rsid w:val="0098294D"/>
    <w:rsid w:val="0098359B"/>
    <w:rsid w:val="00984C32"/>
    <w:rsid w:val="00984D56"/>
    <w:rsid w:val="00994AE6"/>
    <w:rsid w:val="00996FF8"/>
    <w:rsid w:val="009A1F2F"/>
    <w:rsid w:val="009A2581"/>
    <w:rsid w:val="009A6BD1"/>
    <w:rsid w:val="009B49F3"/>
    <w:rsid w:val="009B7762"/>
    <w:rsid w:val="009C149A"/>
    <w:rsid w:val="009C323E"/>
    <w:rsid w:val="009D534B"/>
    <w:rsid w:val="009E1744"/>
    <w:rsid w:val="009E6D31"/>
    <w:rsid w:val="009F0B09"/>
    <w:rsid w:val="00A02DE6"/>
    <w:rsid w:val="00A32032"/>
    <w:rsid w:val="00A35ABF"/>
    <w:rsid w:val="00A41E48"/>
    <w:rsid w:val="00A41EE6"/>
    <w:rsid w:val="00A53EA9"/>
    <w:rsid w:val="00A6100A"/>
    <w:rsid w:val="00A61216"/>
    <w:rsid w:val="00A6376F"/>
    <w:rsid w:val="00A64A79"/>
    <w:rsid w:val="00A65EA3"/>
    <w:rsid w:val="00A74313"/>
    <w:rsid w:val="00A76DA8"/>
    <w:rsid w:val="00A82D8C"/>
    <w:rsid w:val="00A83C7F"/>
    <w:rsid w:val="00A87B62"/>
    <w:rsid w:val="00A92593"/>
    <w:rsid w:val="00A96467"/>
    <w:rsid w:val="00AA7055"/>
    <w:rsid w:val="00AB10E1"/>
    <w:rsid w:val="00AC679B"/>
    <w:rsid w:val="00AD4C4F"/>
    <w:rsid w:val="00AD712A"/>
    <w:rsid w:val="00AD7E15"/>
    <w:rsid w:val="00AE4FC4"/>
    <w:rsid w:val="00AF43F9"/>
    <w:rsid w:val="00B05FA9"/>
    <w:rsid w:val="00B17EC4"/>
    <w:rsid w:val="00B206C5"/>
    <w:rsid w:val="00B21E6B"/>
    <w:rsid w:val="00B30F2E"/>
    <w:rsid w:val="00B51DE2"/>
    <w:rsid w:val="00B51EB8"/>
    <w:rsid w:val="00B565BA"/>
    <w:rsid w:val="00B5762E"/>
    <w:rsid w:val="00B64FC7"/>
    <w:rsid w:val="00B65248"/>
    <w:rsid w:val="00B66724"/>
    <w:rsid w:val="00B826A4"/>
    <w:rsid w:val="00B8539E"/>
    <w:rsid w:val="00B85416"/>
    <w:rsid w:val="00B90732"/>
    <w:rsid w:val="00B91104"/>
    <w:rsid w:val="00BA026B"/>
    <w:rsid w:val="00BA2D16"/>
    <w:rsid w:val="00BA59BA"/>
    <w:rsid w:val="00BB3EB1"/>
    <w:rsid w:val="00BC517B"/>
    <w:rsid w:val="00BE1556"/>
    <w:rsid w:val="00BF2569"/>
    <w:rsid w:val="00C009E9"/>
    <w:rsid w:val="00C06B43"/>
    <w:rsid w:val="00C1750D"/>
    <w:rsid w:val="00C2613A"/>
    <w:rsid w:val="00C3790F"/>
    <w:rsid w:val="00C40B8B"/>
    <w:rsid w:val="00C45F77"/>
    <w:rsid w:val="00C5349C"/>
    <w:rsid w:val="00C542F7"/>
    <w:rsid w:val="00C8670E"/>
    <w:rsid w:val="00C8674D"/>
    <w:rsid w:val="00C9149E"/>
    <w:rsid w:val="00C9433A"/>
    <w:rsid w:val="00CA449D"/>
    <w:rsid w:val="00CD0079"/>
    <w:rsid w:val="00CD5AA7"/>
    <w:rsid w:val="00CE0F2D"/>
    <w:rsid w:val="00CF2376"/>
    <w:rsid w:val="00D211E4"/>
    <w:rsid w:val="00D261F2"/>
    <w:rsid w:val="00D36D80"/>
    <w:rsid w:val="00D4359F"/>
    <w:rsid w:val="00D554E4"/>
    <w:rsid w:val="00D56F13"/>
    <w:rsid w:val="00D6594F"/>
    <w:rsid w:val="00D711BA"/>
    <w:rsid w:val="00D73011"/>
    <w:rsid w:val="00D771CB"/>
    <w:rsid w:val="00D77795"/>
    <w:rsid w:val="00D7779E"/>
    <w:rsid w:val="00D82B68"/>
    <w:rsid w:val="00D87404"/>
    <w:rsid w:val="00D93A31"/>
    <w:rsid w:val="00D93B63"/>
    <w:rsid w:val="00D94487"/>
    <w:rsid w:val="00DB13B4"/>
    <w:rsid w:val="00DB268E"/>
    <w:rsid w:val="00DB6F55"/>
    <w:rsid w:val="00DC10B0"/>
    <w:rsid w:val="00DD5F68"/>
    <w:rsid w:val="00DF6669"/>
    <w:rsid w:val="00E1717B"/>
    <w:rsid w:val="00E2672A"/>
    <w:rsid w:val="00E32DEE"/>
    <w:rsid w:val="00E40480"/>
    <w:rsid w:val="00E723C7"/>
    <w:rsid w:val="00E743C8"/>
    <w:rsid w:val="00E9471C"/>
    <w:rsid w:val="00EA2EE7"/>
    <w:rsid w:val="00EA45AB"/>
    <w:rsid w:val="00EA629C"/>
    <w:rsid w:val="00EC2BF8"/>
    <w:rsid w:val="00ED4712"/>
    <w:rsid w:val="00EE6522"/>
    <w:rsid w:val="00F01086"/>
    <w:rsid w:val="00F01249"/>
    <w:rsid w:val="00F0788F"/>
    <w:rsid w:val="00F15037"/>
    <w:rsid w:val="00F20B17"/>
    <w:rsid w:val="00F20E0C"/>
    <w:rsid w:val="00F271EB"/>
    <w:rsid w:val="00F33E2E"/>
    <w:rsid w:val="00F34F7C"/>
    <w:rsid w:val="00F40607"/>
    <w:rsid w:val="00F477F3"/>
    <w:rsid w:val="00F51B68"/>
    <w:rsid w:val="00F617D5"/>
    <w:rsid w:val="00F63082"/>
    <w:rsid w:val="00F65E62"/>
    <w:rsid w:val="00F81938"/>
    <w:rsid w:val="00F82C54"/>
    <w:rsid w:val="00FA52AE"/>
    <w:rsid w:val="00FE4D9B"/>
    <w:rsid w:val="00FE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94F"/>
    <w:rPr>
      <w:sz w:val="24"/>
      <w:szCs w:val="24"/>
    </w:rPr>
  </w:style>
  <w:style w:type="paragraph" w:styleId="Heading1">
    <w:name w:val="heading 1"/>
    <w:basedOn w:val="Normal"/>
    <w:next w:val="Normal"/>
    <w:qFormat/>
    <w:rsid w:val="005B4D71"/>
    <w:pPr>
      <w:keepNext/>
      <w:ind w:left="2880" w:firstLine="720"/>
      <w:outlineLvl w:val="0"/>
    </w:pPr>
    <w:rPr>
      <w:sz w:val="44"/>
    </w:rPr>
  </w:style>
  <w:style w:type="paragraph" w:styleId="Heading2">
    <w:name w:val="heading 2"/>
    <w:basedOn w:val="Normal"/>
    <w:next w:val="Normal"/>
    <w:qFormat/>
    <w:rsid w:val="005B4D71"/>
    <w:pPr>
      <w:keepNext/>
      <w:ind w:left="720" w:firstLine="720"/>
      <w:jc w:val="both"/>
      <w:outlineLvl w:val="1"/>
    </w:pPr>
    <w:rPr>
      <w:sz w:val="28"/>
    </w:rPr>
  </w:style>
  <w:style w:type="paragraph" w:styleId="Heading7">
    <w:name w:val="heading 7"/>
    <w:basedOn w:val="Normal"/>
    <w:next w:val="Normal"/>
    <w:qFormat/>
    <w:rsid w:val="005B4D7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D71"/>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0D1A"/>
    <w:rPr>
      <w:rFonts w:ascii="Tahoma" w:hAnsi="Tahoma" w:cs="Tahoma"/>
      <w:sz w:val="16"/>
      <w:szCs w:val="16"/>
    </w:rPr>
  </w:style>
  <w:style w:type="paragraph" w:styleId="Header">
    <w:name w:val="header"/>
    <w:basedOn w:val="Normal"/>
    <w:rsid w:val="00CA449D"/>
    <w:pPr>
      <w:tabs>
        <w:tab w:val="center" w:pos="4320"/>
        <w:tab w:val="right" w:pos="8640"/>
      </w:tabs>
    </w:pPr>
  </w:style>
  <w:style w:type="character" w:styleId="Hyperlink">
    <w:name w:val="Hyperlink"/>
    <w:basedOn w:val="DefaultParagraphFont"/>
    <w:rsid w:val="003F2FB7"/>
    <w:rPr>
      <w:color w:val="0000FF"/>
      <w:u w:val="single"/>
    </w:rPr>
  </w:style>
  <w:style w:type="character" w:styleId="FollowedHyperlink">
    <w:name w:val="FollowedHyperlink"/>
    <w:basedOn w:val="DefaultParagraphFont"/>
    <w:rsid w:val="003F2FB7"/>
    <w:rPr>
      <w:color w:val="606420"/>
      <w:u w:val="single"/>
    </w:rPr>
  </w:style>
  <w:style w:type="paragraph" w:styleId="ListParagraph">
    <w:name w:val="List Paragraph"/>
    <w:basedOn w:val="Normal"/>
    <w:uiPriority w:val="34"/>
    <w:qFormat/>
    <w:rsid w:val="006E0EA8"/>
    <w:pPr>
      <w:ind w:left="720"/>
      <w:contextualSpacing/>
    </w:pPr>
  </w:style>
  <w:style w:type="paragraph" w:customStyle="1" w:styleId="Default">
    <w:name w:val="Default"/>
    <w:rsid w:val="00791E2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22E0-526F-461E-BDE7-66E12B63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First Consulting Group</Company>
  <LinksUpToDate>false</LinksUpToDate>
  <CharactersWithSpaces>2961</CharactersWithSpaces>
  <SharedDoc>false</SharedDoc>
  <HLinks>
    <vt:vector size="6" baseType="variant">
      <vt:variant>
        <vt:i4>2293808</vt:i4>
      </vt:variant>
      <vt:variant>
        <vt:i4>0</vt:i4>
      </vt:variant>
      <vt:variant>
        <vt:i4>0</vt:i4>
      </vt:variant>
      <vt:variant>
        <vt:i4>5</vt:i4>
      </vt:variant>
      <vt:variant>
        <vt:lpwstr>../../../PSF Entity Implementation Team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config</dc:creator>
  <cp:keywords/>
  <dc:description/>
  <cp:lastModifiedBy>dnussdor</cp:lastModifiedBy>
  <cp:revision>2</cp:revision>
  <cp:lastPrinted>2012-02-24T21:01:00Z</cp:lastPrinted>
  <dcterms:created xsi:type="dcterms:W3CDTF">2013-03-20T16:19:00Z</dcterms:created>
  <dcterms:modified xsi:type="dcterms:W3CDTF">2013-03-20T16:19:00Z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