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4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310"/>
      </w:tblGrid>
      <w:tr w:rsidR="00F444FE" w:rsidRPr="00E93C52" w:rsidTr="00BC16D1">
        <w:trPr>
          <w:trHeight w:val="413"/>
        </w:trPr>
        <w:tc>
          <w:tcPr>
            <w:tcW w:w="10818" w:type="dxa"/>
            <w:gridSpan w:val="2"/>
          </w:tcPr>
          <w:p w:rsidR="00F444FE" w:rsidRPr="00E93C52" w:rsidRDefault="00F444FE" w:rsidP="00F444FE">
            <w:pPr>
              <w:tabs>
                <w:tab w:val="left" w:pos="1860"/>
              </w:tabs>
              <w:ind w:left="-36" w:firstLine="36"/>
              <w:rPr>
                <w:rFonts w:ascii="Calibri" w:hAnsi="Calibri"/>
                <w:b/>
              </w:rPr>
            </w:pPr>
            <w:r w:rsidRPr="00E93C52">
              <w:rPr>
                <w:rFonts w:ascii="Calibri" w:hAnsi="Calibri"/>
                <w:b/>
                <w:sz w:val="22"/>
                <w:szCs w:val="22"/>
              </w:rPr>
              <w:t>POLICY TITLE:</w:t>
            </w:r>
            <w:r>
              <w:rPr>
                <w:rFonts w:ascii="Calibri" w:hAnsi="Calibri"/>
                <w:b/>
                <w:sz w:val="22"/>
                <w:szCs w:val="22"/>
              </w:rPr>
              <w:t xml:space="preserve"> </w:t>
            </w:r>
            <w:r w:rsidRPr="00EB3968">
              <w:rPr>
                <w:rFonts w:ascii="Calibri" w:hAnsi="Calibri"/>
                <w:b/>
                <w:sz w:val="22"/>
                <w:szCs w:val="22"/>
              </w:rPr>
              <w:t xml:space="preserve"> Sentinel and Critical Events</w:t>
            </w:r>
          </w:p>
        </w:tc>
      </w:tr>
      <w:tr w:rsidR="00F444FE" w:rsidRPr="00E93C52" w:rsidTr="00BC16D1">
        <w:trPr>
          <w:trHeight w:val="413"/>
        </w:trPr>
        <w:tc>
          <w:tcPr>
            <w:tcW w:w="5508" w:type="dxa"/>
          </w:tcPr>
          <w:p w:rsidR="00F444FE" w:rsidRPr="00E93C52" w:rsidRDefault="00F444FE" w:rsidP="00BC16D1">
            <w:pPr>
              <w:rPr>
                <w:rFonts w:ascii="Calibri" w:hAnsi="Calibri"/>
                <w:b/>
              </w:rPr>
            </w:pPr>
            <w:r w:rsidRPr="00E93C52">
              <w:rPr>
                <w:rFonts w:ascii="Calibri" w:hAnsi="Calibri"/>
                <w:b/>
                <w:sz w:val="22"/>
                <w:szCs w:val="22"/>
              </w:rPr>
              <w:t xml:space="preserve">DEPARTMENT: </w:t>
            </w:r>
            <w:r>
              <w:rPr>
                <w:rFonts w:ascii="Calibri" w:hAnsi="Calibri"/>
                <w:b/>
                <w:sz w:val="22"/>
                <w:szCs w:val="22"/>
              </w:rPr>
              <w:t xml:space="preserve"> </w:t>
            </w:r>
            <w:r w:rsidRPr="00EB3968">
              <w:rPr>
                <w:rFonts w:ascii="Calibri" w:hAnsi="Calibri"/>
                <w:sz w:val="22"/>
                <w:szCs w:val="22"/>
              </w:rPr>
              <w:t xml:space="preserve"> Patient Safety/Risk Management, Clinical Effectiveness Department</w:t>
            </w:r>
          </w:p>
        </w:tc>
        <w:tc>
          <w:tcPr>
            <w:tcW w:w="5310" w:type="dxa"/>
          </w:tcPr>
          <w:p w:rsidR="00F444FE" w:rsidRPr="00E93C52" w:rsidRDefault="00F444FE" w:rsidP="00BC16D1">
            <w:pPr>
              <w:ind w:left="-36" w:firstLine="36"/>
              <w:rPr>
                <w:rFonts w:ascii="Calibri" w:hAnsi="Calibri"/>
                <w:i/>
              </w:rPr>
            </w:pPr>
            <w:r w:rsidRPr="00E93C52">
              <w:rPr>
                <w:rFonts w:ascii="Calibri" w:hAnsi="Calibri"/>
                <w:b/>
                <w:sz w:val="22"/>
                <w:szCs w:val="22"/>
              </w:rPr>
              <w:t>ORIGINATION DATE</w:t>
            </w:r>
            <w:r>
              <w:rPr>
                <w:rFonts w:ascii="Calibri" w:hAnsi="Calibri"/>
                <w:i/>
                <w:sz w:val="22"/>
                <w:szCs w:val="22"/>
              </w:rPr>
              <w:t>: 5/1998</w:t>
            </w:r>
          </w:p>
        </w:tc>
      </w:tr>
      <w:tr w:rsidR="00F444FE" w:rsidRPr="00E93C52" w:rsidTr="00BC16D1">
        <w:tc>
          <w:tcPr>
            <w:tcW w:w="5508" w:type="dxa"/>
          </w:tcPr>
          <w:p w:rsidR="00F444FE" w:rsidRPr="00E93C52" w:rsidRDefault="00F444FE" w:rsidP="00BC16D1">
            <w:pPr>
              <w:rPr>
                <w:rFonts w:ascii="Calibri" w:hAnsi="Calibri"/>
                <w:b/>
              </w:rPr>
            </w:pPr>
            <w:r w:rsidRPr="00E93C52">
              <w:rPr>
                <w:rFonts w:ascii="Calibri" w:hAnsi="Calibri"/>
                <w:b/>
                <w:sz w:val="22"/>
                <w:szCs w:val="22"/>
              </w:rPr>
              <w:t>CATEGORY:</w:t>
            </w:r>
          </w:p>
        </w:tc>
        <w:tc>
          <w:tcPr>
            <w:tcW w:w="5310" w:type="dxa"/>
          </w:tcPr>
          <w:p w:rsidR="00F444FE" w:rsidRPr="00E93C52" w:rsidRDefault="00F444FE" w:rsidP="00BC16D1">
            <w:pPr>
              <w:rPr>
                <w:rFonts w:ascii="Calibri" w:hAnsi="Calibri"/>
              </w:rPr>
            </w:pPr>
            <w:r>
              <w:rPr>
                <w:rFonts w:ascii="Calibri" w:hAnsi="Calibri"/>
                <w:b/>
                <w:sz w:val="22"/>
                <w:szCs w:val="22"/>
              </w:rPr>
              <w:t xml:space="preserve">EFFECTIVE DATE: </w:t>
            </w:r>
            <w:r>
              <w:rPr>
                <w:rFonts w:ascii="Calibri" w:hAnsi="Calibri"/>
                <w:i/>
                <w:sz w:val="22"/>
                <w:szCs w:val="22"/>
              </w:rPr>
              <w:t>11/30/12</w:t>
            </w:r>
          </w:p>
          <w:p w:rsidR="00F444FE" w:rsidRPr="00E93C52" w:rsidRDefault="00F444FE" w:rsidP="00BC16D1">
            <w:pPr>
              <w:rPr>
                <w:rFonts w:ascii="Calibri" w:hAnsi="Calibri"/>
                <w:b/>
              </w:rPr>
            </w:pPr>
          </w:p>
        </w:tc>
      </w:tr>
    </w:tbl>
    <w:p w:rsidR="00F444FE" w:rsidRPr="00F444FE" w:rsidRDefault="00F444FE" w:rsidP="00F444FE">
      <w:pPr>
        <w:pStyle w:val="nostyle"/>
      </w:pPr>
      <w:r w:rsidRPr="00F444FE">
        <w:t xml:space="preserve">SCOPE: </w:t>
      </w:r>
    </w:p>
    <w:p w:rsidR="00F444FE" w:rsidRPr="00EB3968" w:rsidRDefault="00F444FE" w:rsidP="00F444FE">
      <w:pPr>
        <w:pStyle w:val="nostyle"/>
      </w:pPr>
      <w:r w:rsidRPr="00EB3968">
        <w:t>This policy applies to both hospitals, Penrose-Main and St. Francis Medical Center (</w:t>
      </w:r>
      <w:r w:rsidRPr="00EB3968">
        <w:rPr>
          <w:i/>
        </w:rPr>
        <w:t>hereafter</w:t>
      </w:r>
      <w:r w:rsidRPr="00EB3968">
        <w:t>, PSF)</w:t>
      </w:r>
    </w:p>
    <w:p w:rsidR="00F444FE" w:rsidRPr="00EB3968" w:rsidRDefault="00F444FE" w:rsidP="00F444FE">
      <w:pPr>
        <w:pStyle w:val="nostyle"/>
      </w:pPr>
    </w:p>
    <w:p w:rsidR="00F444FE" w:rsidRPr="00EB3968" w:rsidRDefault="00F444FE" w:rsidP="00F444FE">
      <w:pPr>
        <w:pBdr>
          <w:top w:val="double" w:sz="6" w:space="0" w:color="auto"/>
        </w:pBdr>
        <w:rPr>
          <w:rFonts w:ascii="Calibri" w:hAnsi="Calibri"/>
          <w:sz w:val="22"/>
          <w:szCs w:val="22"/>
        </w:rPr>
      </w:pPr>
      <w:r w:rsidRPr="00EB3968">
        <w:rPr>
          <w:rFonts w:ascii="Calibri" w:hAnsi="Calibri"/>
          <w:b/>
          <w:sz w:val="22"/>
          <w:szCs w:val="22"/>
        </w:rPr>
        <w:t xml:space="preserve">PURPOSE: </w:t>
      </w:r>
      <w:r w:rsidRPr="00EB3968">
        <w:rPr>
          <w:rFonts w:ascii="Calibri" w:hAnsi="Calibri"/>
          <w:sz w:val="22"/>
          <w:szCs w:val="22"/>
        </w:rPr>
        <w:t>To provide guidelines for immediate notification and action in the event of a potential sentinel or critical event.</w:t>
      </w:r>
    </w:p>
    <w:p w:rsidR="00F444FE" w:rsidRPr="00EB3968" w:rsidRDefault="00F444FE" w:rsidP="00F444FE">
      <w:pPr>
        <w:pStyle w:val="nostyle"/>
      </w:pPr>
    </w:p>
    <w:p w:rsidR="00F444FE" w:rsidRPr="00EB3968" w:rsidRDefault="00F444FE" w:rsidP="00F444FE">
      <w:pPr>
        <w:pStyle w:val="nostyle"/>
      </w:pPr>
      <w:r w:rsidRPr="00EB3968">
        <w:t xml:space="preserve">STATEMENT OF POLICY: </w:t>
      </w:r>
    </w:p>
    <w:p w:rsidR="00F444FE" w:rsidRPr="00EB3968" w:rsidRDefault="00F444FE" w:rsidP="00F444FE">
      <w:pPr>
        <w:rPr>
          <w:rFonts w:ascii="Calibri" w:hAnsi="Calibri"/>
          <w:sz w:val="22"/>
          <w:szCs w:val="22"/>
        </w:rPr>
      </w:pPr>
      <w:r w:rsidRPr="00EB3968">
        <w:rPr>
          <w:rFonts w:ascii="Calibri" w:hAnsi="Calibri"/>
          <w:sz w:val="22"/>
          <w:szCs w:val="22"/>
        </w:rPr>
        <w:t>An event will be CONSIDERED SENTINEL if Patient Safety/Risk Management and the Chief Medical Officer/Chief Nursing Officer determine that at least two out of the three criteria, below</w:t>
      </w:r>
      <w:proofErr w:type="gramStart"/>
      <w:r w:rsidRPr="00EB3968">
        <w:rPr>
          <w:rFonts w:ascii="Calibri" w:hAnsi="Calibri"/>
          <w:sz w:val="22"/>
          <w:szCs w:val="22"/>
        </w:rPr>
        <w:t>,  have</w:t>
      </w:r>
      <w:proofErr w:type="gramEnd"/>
      <w:r w:rsidRPr="00EB3968">
        <w:rPr>
          <w:rFonts w:ascii="Calibri" w:hAnsi="Calibri"/>
          <w:sz w:val="22"/>
          <w:szCs w:val="22"/>
        </w:rPr>
        <w:t xml:space="preserve"> been met:</w:t>
      </w:r>
    </w:p>
    <w:p w:rsidR="00F444FE" w:rsidRPr="00EB3968" w:rsidRDefault="00F444FE" w:rsidP="00F444FE">
      <w:pPr>
        <w:ind w:left="360"/>
        <w:rPr>
          <w:rFonts w:ascii="Calibri" w:hAnsi="Calibri"/>
          <w:sz w:val="22"/>
          <w:szCs w:val="22"/>
        </w:rPr>
      </w:pPr>
      <w:r w:rsidRPr="00EB3968">
        <w:rPr>
          <w:rFonts w:ascii="Calibri" w:hAnsi="Calibri"/>
          <w:sz w:val="22"/>
          <w:szCs w:val="22"/>
        </w:rPr>
        <w:sym w:font="Symbol" w:char="F0B7"/>
      </w:r>
      <w:r w:rsidRPr="00EB3968">
        <w:rPr>
          <w:rFonts w:ascii="Calibri" w:hAnsi="Calibri"/>
          <w:sz w:val="22"/>
          <w:szCs w:val="22"/>
        </w:rPr>
        <w:tab/>
      </w:r>
      <w:proofErr w:type="gramStart"/>
      <w:r w:rsidRPr="00EB3968">
        <w:rPr>
          <w:rFonts w:ascii="Calibri" w:hAnsi="Calibri"/>
          <w:sz w:val="22"/>
          <w:szCs w:val="22"/>
        </w:rPr>
        <w:t>Unanticipated death; permanent loss of limb or function.</w:t>
      </w:r>
      <w:proofErr w:type="gramEnd"/>
    </w:p>
    <w:p w:rsidR="00F444FE" w:rsidRPr="00EB3968" w:rsidRDefault="00F444FE" w:rsidP="00F444FE">
      <w:pPr>
        <w:ind w:left="720" w:hanging="360"/>
        <w:rPr>
          <w:rFonts w:ascii="Calibri" w:hAnsi="Calibri"/>
          <w:sz w:val="22"/>
          <w:szCs w:val="22"/>
        </w:rPr>
      </w:pPr>
      <w:r w:rsidRPr="00EB3968">
        <w:rPr>
          <w:rFonts w:ascii="Calibri" w:hAnsi="Calibri"/>
          <w:sz w:val="22"/>
          <w:szCs w:val="22"/>
        </w:rPr>
        <w:sym w:font="Symbol" w:char="F0B7"/>
      </w:r>
      <w:r w:rsidRPr="00EB3968">
        <w:rPr>
          <w:rFonts w:ascii="Calibri" w:hAnsi="Calibri"/>
          <w:sz w:val="22"/>
          <w:szCs w:val="22"/>
        </w:rPr>
        <w:tab/>
        <w:t>Significant deviation from usual processes for provision of health care services or managing the organization involved.</w:t>
      </w:r>
    </w:p>
    <w:p w:rsidR="00F444FE" w:rsidRPr="00EB3968" w:rsidRDefault="00F444FE" w:rsidP="00F444FE">
      <w:pPr>
        <w:ind w:left="360"/>
        <w:rPr>
          <w:rFonts w:ascii="Calibri" w:hAnsi="Calibri"/>
          <w:sz w:val="22"/>
          <w:szCs w:val="22"/>
        </w:rPr>
      </w:pPr>
      <w:r w:rsidRPr="00EB3968">
        <w:rPr>
          <w:rFonts w:ascii="Calibri" w:hAnsi="Calibri"/>
          <w:sz w:val="22"/>
          <w:szCs w:val="22"/>
        </w:rPr>
        <w:sym w:font="Symbol" w:char="F0B7"/>
      </w:r>
      <w:r w:rsidRPr="00EB3968">
        <w:rPr>
          <w:rFonts w:ascii="Calibri" w:hAnsi="Calibri"/>
          <w:sz w:val="22"/>
          <w:szCs w:val="22"/>
        </w:rPr>
        <w:tab/>
      </w:r>
      <w:proofErr w:type="gramStart"/>
      <w:r w:rsidRPr="00EB3968">
        <w:rPr>
          <w:rFonts w:ascii="Calibri" w:hAnsi="Calibri"/>
          <w:sz w:val="22"/>
          <w:szCs w:val="22"/>
        </w:rPr>
        <w:t>Substantial risk of serious adverse publicity that will undermine the public confidence.</w:t>
      </w:r>
      <w:proofErr w:type="gramEnd"/>
    </w:p>
    <w:p w:rsidR="00F444FE" w:rsidRPr="00EB3968" w:rsidRDefault="00F444FE" w:rsidP="00F444FE">
      <w:pPr>
        <w:pStyle w:val="Header"/>
        <w:tabs>
          <w:tab w:val="clear" w:pos="4320"/>
          <w:tab w:val="clear" w:pos="8640"/>
        </w:tabs>
        <w:rPr>
          <w:rFonts w:ascii="Calibri" w:hAnsi="Calibri"/>
          <w:sz w:val="22"/>
          <w:szCs w:val="22"/>
        </w:rPr>
      </w:pPr>
    </w:p>
    <w:p w:rsidR="00F444FE" w:rsidRPr="00EB3968" w:rsidRDefault="00F444FE" w:rsidP="00F444FE">
      <w:pPr>
        <w:rPr>
          <w:rFonts w:ascii="Calibri" w:hAnsi="Calibri"/>
          <w:sz w:val="22"/>
          <w:szCs w:val="22"/>
        </w:rPr>
      </w:pPr>
      <w:r w:rsidRPr="00EB3968">
        <w:rPr>
          <w:rFonts w:ascii="Calibri" w:hAnsi="Calibri"/>
          <w:sz w:val="22"/>
          <w:szCs w:val="22"/>
        </w:rPr>
        <w:t>POLICY:  When an event occurs, Patient Safety/Risk Management is to be notified immediately by phone or pager. Patient Safety/ Risk Management will do a preliminary investigation, set up an RCA and discuss the findings with the Chief Medical Officer to jointly determine if the event meets the criteria of TJC Sentinel Event.  If the criteria are met then Patient Safety/Risk Management is to deem the situation a SENTINEL EVENT.</w:t>
      </w:r>
    </w:p>
    <w:p w:rsidR="00F444FE" w:rsidRPr="00EB3968" w:rsidRDefault="00F444FE" w:rsidP="00F444FE">
      <w:pPr>
        <w:rPr>
          <w:rFonts w:ascii="Calibri" w:hAnsi="Calibri"/>
          <w:sz w:val="22"/>
          <w:szCs w:val="22"/>
        </w:rPr>
      </w:pPr>
    </w:p>
    <w:p w:rsidR="00F444FE" w:rsidRPr="00EB3968" w:rsidRDefault="00F444FE" w:rsidP="00F444FE">
      <w:pPr>
        <w:rPr>
          <w:rFonts w:ascii="Calibri" w:hAnsi="Calibri"/>
          <w:sz w:val="22"/>
          <w:szCs w:val="22"/>
        </w:rPr>
      </w:pPr>
      <w:r w:rsidRPr="00EB3968">
        <w:rPr>
          <w:rFonts w:ascii="Calibri" w:hAnsi="Calibri"/>
          <w:sz w:val="22"/>
          <w:szCs w:val="22"/>
        </w:rPr>
        <w:t>PROCEDURE:</w:t>
      </w:r>
    </w:p>
    <w:p w:rsidR="00F444FE" w:rsidRPr="00EB3968" w:rsidRDefault="00F444FE" w:rsidP="00F444FE">
      <w:pPr>
        <w:numPr>
          <w:ilvl w:val="0"/>
          <w:numId w:val="3"/>
        </w:numPr>
        <w:overflowPunct w:val="0"/>
        <w:autoSpaceDE w:val="0"/>
        <w:autoSpaceDN w:val="0"/>
        <w:adjustRightInd w:val="0"/>
        <w:spacing w:before="80"/>
        <w:textAlignment w:val="baseline"/>
        <w:rPr>
          <w:rFonts w:ascii="Calibri" w:hAnsi="Calibri"/>
          <w:sz w:val="22"/>
          <w:szCs w:val="22"/>
        </w:rPr>
      </w:pPr>
      <w:r w:rsidRPr="00EB3968">
        <w:rPr>
          <w:rFonts w:ascii="Calibri" w:hAnsi="Calibri"/>
          <w:sz w:val="22"/>
          <w:szCs w:val="22"/>
        </w:rPr>
        <w:t>Patient Safety/Risk Management will notify the appropriate department leadership, facility insurance carrier, Clinical Effectiveness Department, Centura VP and administration that an occurrence has been declared a sentinel event.  Legal counsel will also be obtained by Patient Safety/Risk Management in conjunction with the hospital insurance carrier.</w:t>
      </w:r>
    </w:p>
    <w:p w:rsidR="00F444FE" w:rsidRPr="00EB3968" w:rsidRDefault="00F444FE" w:rsidP="00F444FE">
      <w:pPr>
        <w:numPr>
          <w:ilvl w:val="0"/>
          <w:numId w:val="3"/>
        </w:numPr>
        <w:overflowPunct w:val="0"/>
        <w:autoSpaceDE w:val="0"/>
        <w:autoSpaceDN w:val="0"/>
        <w:adjustRightInd w:val="0"/>
        <w:spacing w:before="80"/>
        <w:textAlignment w:val="baseline"/>
        <w:rPr>
          <w:rFonts w:ascii="Calibri" w:hAnsi="Calibri"/>
          <w:sz w:val="22"/>
          <w:szCs w:val="22"/>
          <w:u w:val="single"/>
        </w:rPr>
      </w:pPr>
      <w:r w:rsidRPr="00EB3968">
        <w:rPr>
          <w:rFonts w:ascii="Calibri" w:hAnsi="Calibri"/>
          <w:sz w:val="22"/>
          <w:szCs w:val="22"/>
        </w:rPr>
        <w:t>Patient Safety/Risk Management and the Clinical Effectiveness Department will internally assemble a multidisciplinary team with representatives from quality, risk, administration, involved physicians and employees of the department involved in the incident.  The team will coordinate the Critical Event Analysis (CEA) or the Root Cause Analysis (RCA) and the preventive action plan.</w:t>
      </w:r>
    </w:p>
    <w:p w:rsidR="00F444FE" w:rsidRPr="00EB3968" w:rsidRDefault="00F444FE" w:rsidP="00F444FE">
      <w:pPr>
        <w:numPr>
          <w:ilvl w:val="0"/>
          <w:numId w:val="3"/>
        </w:numPr>
        <w:overflowPunct w:val="0"/>
        <w:autoSpaceDE w:val="0"/>
        <w:autoSpaceDN w:val="0"/>
        <w:adjustRightInd w:val="0"/>
        <w:spacing w:before="80"/>
        <w:textAlignment w:val="baseline"/>
        <w:rPr>
          <w:rFonts w:ascii="Calibri" w:hAnsi="Calibri"/>
          <w:sz w:val="22"/>
          <w:szCs w:val="22"/>
        </w:rPr>
      </w:pPr>
      <w:r w:rsidRPr="00EB3968">
        <w:rPr>
          <w:rFonts w:ascii="Calibri" w:hAnsi="Calibri"/>
          <w:sz w:val="22"/>
          <w:szCs w:val="22"/>
        </w:rPr>
        <w:t xml:space="preserve">The team will be responsible for monitoring the recommended corrective actions identified by </w:t>
      </w:r>
      <w:proofErr w:type="gramStart"/>
      <w:r w:rsidRPr="00EB3968">
        <w:rPr>
          <w:rFonts w:ascii="Calibri" w:hAnsi="Calibri"/>
          <w:sz w:val="22"/>
          <w:szCs w:val="22"/>
        </w:rPr>
        <w:t>the</w:t>
      </w:r>
      <w:proofErr w:type="gramEnd"/>
      <w:r w:rsidRPr="00EB3968">
        <w:rPr>
          <w:rFonts w:ascii="Calibri" w:hAnsi="Calibri"/>
          <w:sz w:val="22"/>
          <w:szCs w:val="22"/>
        </w:rPr>
        <w:t xml:space="preserve"> CEA/RCA.</w:t>
      </w:r>
    </w:p>
    <w:p w:rsidR="00F444FE" w:rsidRPr="00EB3968" w:rsidRDefault="00F444FE" w:rsidP="00F444FE">
      <w:pPr>
        <w:numPr>
          <w:ilvl w:val="0"/>
          <w:numId w:val="3"/>
        </w:numPr>
        <w:overflowPunct w:val="0"/>
        <w:autoSpaceDE w:val="0"/>
        <w:autoSpaceDN w:val="0"/>
        <w:adjustRightInd w:val="0"/>
        <w:spacing w:before="80"/>
        <w:textAlignment w:val="baseline"/>
        <w:rPr>
          <w:rFonts w:ascii="Calibri" w:hAnsi="Calibri"/>
          <w:sz w:val="22"/>
          <w:szCs w:val="22"/>
        </w:rPr>
      </w:pPr>
      <w:r w:rsidRPr="00EB3968">
        <w:rPr>
          <w:rFonts w:ascii="Calibri" w:hAnsi="Calibri"/>
          <w:sz w:val="22"/>
          <w:szCs w:val="22"/>
        </w:rPr>
        <w:t>The events, causes and corrective actions will be reported to the appropriate hospital administrative and/or medical staff committees.</w:t>
      </w:r>
    </w:p>
    <w:p w:rsidR="00F444FE" w:rsidRPr="00EB3968" w:rsidRDefault="00F444FE" w:rsidP="00F444FE">
      <w:pPr>
        <w:numPr>
          <w:ilvl w:val="0"/>
          <w:numId w:val="3"/>
        </w:numPr>
        <w:overflowPunct w:val="0"/>
        <w:autoSpaceDE w:val="0"/>
        <w:autoSpaceDN w:val="0"/>
        <w:adjustRightInd w:val="0"/>
        <w:spacing w:before="80"/>
        <w:textAlignment w:val="baseline"/>
        <w:rPr>
          <w:rFonts w:ascii="Calibri" w:hAnsi="Calibri"/>
          <w:sz w:val="22"/>
          <w:szCs w:val="22"/>
        </w:rPr>
      </w:pPr>
      <w:r w:rsidRPr="00EB3968">
        <w:rPr>
          <w:rFonts w:ascii="Calibri" w:hAnsi="Calibri"/>
          <w:sz w:val="22"/>
          <w:szCs w:val="22"/>
        </w:rPr>
        <w:lastRenderedPageBreak/>
        <w:t>The CEA/RCA and summary of the events will be classified as confidential.  The document and findings will be protected under the Colorado Quality/Risk Management/PEER Review statutes and/or the attorney/client privilege established by Patient Safety/Risk Management.</w:t>
      </w:r>
    </w:p>
    <w:p w:rsidR="00F444FE" w:rsidRPr="00EB3968" w:rsidRDefault="00F444FE" w:rsidP="00F444FE">
      <w:pPr>
        <w:numPr>
          <w:ilvl w:val="0"/>
          <w:numId w:val="3"/>
        </w:numPr>
        <w:overflowPunct w:val="0"/>
        <w:autoSpaceDE w:val="0"/>
        <w:autoSpaceDN w:val="0"/>
        <w:adjustRightInd w:val="0"/>
        <w:spacing w:before="80"/>
        <w:textAlignment w:val="baseline"/>
        <w:rPr>
          <w:rFonts w:ascii="Calibri" w:hAnsi="Calibri"/>
          <w:sz w:val="22"/>
          <w:szCs w:val="22"/>
        </w:rPr>
      </w:pPr>
      <w:r w:rsidRPr="00EB3968">
        <w:rPr>
          <w:rFonts w:ascii="Calibri" w:hAnsi="Calibri"/>
          <w:sz w:val="22"/>
          <w:szCs w:val="22"/>
        </w:rPr>
        <w:t>The release of any information of the event or its findings must be approved by Patient Safety/Risk Management and legal counsel.</w:t>
      </w:r>
    </w:p>
    <w:p w:rsidR="00F444FE" w:rsidRPr="00EB3968" w:rsidRDefault="00F444FE" w:rsidP="00F444FE">
      <w:pPr>
        <w:numPr>
          <w:ilvl w:val="0"/>
          <w:numId w:val="3"/>
        </w:numPr>
        <w:rPr>
          <w:rFonts w:ascii="Calibri" w:hAnsi="Calibri"/>
          <w:sz w:val="22"/>
          <w:szCs w:val="22"/>
        </w:rPr>
      </w:pPr>
      <w:r w:rsidRPr="00EB3968">
        <w:rPr>
          <w:rFonts w:ascii="Calibri" w:hAnsi="Calibri"/>
          <w:sz w:val="22"/>
          <w:szCs w:val="22"/>
        </w:rPr>
        <w:t xml:space="preserve">Disclosure of </w:t>
      </w:r>
      <w:proofErr w:type="gramStart"/>
      <w:r w:rsidRPr="00EB3968">
        <w:rPr>
          <w:rFonts w:ascii="Calibri" w:hAnsi="Calibri"/>
          <w:sz w:val="22"/>
          <w:szCs w:val="22"/>
        </w:rPr>
        <w:t>a</w:t>
      </w:r>
      <w:proofErr w:type="gramEnd"/>
      <w:r w:rsidRPr="00EB3968">
        <w:rPr>
          <w:rFonts w:ascii="Calibri" w:hAnsi="Calibri"/>
          <w:sz w:val="22"/>
          <w:szCs w:val="22"/>
        </w:rPr>
        <w:t xml:space="preserve"> sSENTINEL EVENT should occur at the time the incident is realized and according to the Disclosure of Adverse Events IDP (A-02-i).</w:t>
      </w:r>
    </w:p>
    <w:p w:rsidR="00F444FE" w:rsidRPr="00EB3968" w:rsidRDefault="00F444FE" w:rsidP="00F444FE">
      <w:pPr>
        <w:rPr>
          <w:rFonts w:ascii="Calibri" w:hAnsi="Calibri"/>
          <w:sz w:val="22"/>
          <w:szCs w:val="22"/>
          <w:u w:val="single"/>
        </w:rPr>
      </w:pPr>
    </w:p>
    <w:p w:rsidR="00F444FE" w:rsidRPr="00EB3968" w:rsidRDefault="00F444FE" w:rsidP="00F444FE">
      <w:pPr>
        <w:rPr>
          <w:rFonts w:ascii="Calibri" w:hAnsi="Calibri"/>
          <w:sz w:val="22"/>
          <w:szCs w:val="22"/>
        </w:rPr>
      </w:pPr>
      <w:r w:rsidRPr="00EB3968">
        <w:rPr>
          <w:rFonts w:ascii="Calibri" w:hAnsi="Calibri"/>
          <w:sz w:val="22"/>
          <w:szCs w:val="22"/>
          <w:u w:val="single"/>
        </w:rPr>
        <w:t>DEFINITIONS:</w:t>
      </w:r>
      <w:r w:rsidRPr="00EB3968">
        <w:rPr>
          <w:rFonts w:ascii="Calibri" w:hAnsi="Calibri"/>
          <w:sz w:val="22"/>
          <w:szCs w:val="22"/>
        </w:rPr>
        <w:t xml:space="preserve">  </w:t>
      </w:r>
    </w:p>
    <w:p w:rsidR="00F444FE" w:rsidRPr="00EB3968" w:rsidRDefault="00F444FE" w:rsidP="00F444FE">
      <w:pPr>
        <w:pStyle w:val="BodyText"/>
        <w:numPr>
          <w:ilvl w:val="0"/>
          <w:numId w:val="1"/>
        </w:numPr>
        <w:tabs>
          <w:tab w:val="left" w:pos="270"/>
          <w:tab w:val="left" w:pos="540"/>
          <w:tab w:val="left" w:pos="810"/>
        </w:tabs>
        <w:overflowPunct/>
        <w:autoSpaceDE/>
        <w:autoSpaceDN/>
        <w:adjustRightInd/>
        <w:spacing w:after="0"/>
        <w:textAlignment w:val="auto"/>
        <w:rPr>
          <w:rFonts w:ascii="Calibri" w:hAnsi="Calibri"/>
          <w:sz w:val="22"/>
          <w:szCs w:val="22"/>
        </w:rPr>
      </w:pPr>
      <w:r w:rsidRPr="00EB3968">
        <w:rPr>
          <w:rFonts w:ascii="Calibri" w:hAnsi="Calibri"/>
          <w:sz w:val="22"/>
          <w:szCs w:val="22"/>
          <w:u w:val="single"/>
        </w:rPr>
        <w:t>ADVERSE PATIENT EVENTS</w:t>
      </w:r>
      <w:r w:rsidRPr="00EB3968">
        <w:rPr>
          <w:rFonts w:ascii="Calibri" w:hAnsi="Calibri"/>
          <w:sz w:val="22"/>
          <w:szCs w:val="22"/>
        </w:rPr>
        <w:t xml:space="preserve"> are untoward incidents, therapeutic misadventures, iatrogenic injuries, or other adverse occurrences directly associated with care or services provided within PSF. ADVERSE PATIENT EVENTS may result from acts of commission or omission (e.g., administration of the wrong medication, failure to make a timely diagnosis or institute the appropriate therapeutic intervention, adverse reactions or negative outcomes of treatment), or may not be attributable to any particular act or omission.  A determination that an adverse event has occurred is not equivalent to a determination that the event was preventable or that PSF or any provider has acted or failed to act in a negligent manner. Adverse events </w:t>
      </w:r>
      <w:r w:rsidRPr="00EB3968">
        <w:rPr>
          <w:rFonts w:ascii="Calibri" w:hAnsi="Calibri"/>
          <w:sz w:val="22"/>
          <w:szCs w:val="22"/>
          <w:u w:val="single"/>
        </w:rPr>
        <w:t>may</w:t>
      </w:r>
      <w:r w:rsidRPr="00EB3968">
        <w:rPr>
          <w:rFonts w:ascii="Calibri" w:hAnsi="Calibri"/>
          <w:sz w:val="22"/>
          <w:szCs w:val="22"/>
        </w:rPr>
        <w:t xml:space="preserve"> include those serious adverse events defined by Centers for Medicare &amp; Medicaid Services (CMS) as not eligible for payment (e.g., certain hospital acquired conditions) or reportable to CMS, and events defined as serious reportable events by the National Quality Forum (NQF) or Leapfrog.  A detailed list of such events is in Appendix 1.  </w:t>
      </w:r>
    </w:p>
    <w:p w:rsidR="00F444FE" w:rsidRPr="00EB3968" w:rsidRDefault="00F444FE" w:rsidP="00F444FE">
      <w:pPr>
        <w:pStyle w:val="BodyText"/>
        <w:tabs>
          <w:tab w:val="left" w:pos="270"/>
          <w:tab w:val="left" w:pos="540"/>
          <w:tab w:val="left" w:pos="810"/>
        </w:tabs>
        <w:rPr>
          <w:rFonts w:ascii="Calibri" w:hAnsi="Calibri"/>
          <w:b/>
          <w:sz w:val="22"/>
          <w:szCs w:val="22"/>
        </w:rPr>
      </w:pPr>
    </w:p>
    <w:p w:rsidR="00F444FE" w:rsidRPr="00EB3968" w:rsidRDefault="00F444FE" w:rsidP="00F444FE">
      <w:pPr>
        <w:pStyle w:val="BodyText"/>
        <w:numPr>
          <w:ilvl w:val="0"/>
          <w:numId w:val="1"/>
        </w:numPr>
        <w:tabs>
          <w:tab w:val="left" w:pos="270"/>
          <w:tab w:val="left" w:pos="540"/>
          <w:tab w:val="left" w:pos="810"/>
        </w:tabs>
        <w:overflowPunct/>
        <w:autoSpaceDE/>
        <w:autoSpaceDN/>
        <w:adjustRightInd/>
        <w:spacing w:after="0"/>
        <w:textAlignment w:val="auto"/>
        <w:rPr>
          <w:rFonts w:ascii="Calibri" w:hAnsi="Calibri"/>
          <w:sz w:val="22"/>
          <w:szCs w:val="22"/>
        </w:rPr>
      </w:pPr>
      <w:r w:rsidRPr="00EB3968">
        <w:rPr>
          <w:rFonts w:ascii="Calibri" w:hAnsi="Calibri"/>
          <w:sz w:val="22"/>
          <w:szCs w:val="22"/>
          <w:u w:val="single"/>
        </w:rPr>
        <w:t xml:space="preserve">SENTINEL </w:t>
      </w:r>
      <w:proofErr w:type="gramStart"/>
      <w:r w:rsidRPr="00EB3968">
        <w:rPr>
          <w:rFonts w:ascii="Calibri" w:hAnsi="Calibri"/>
          <w:sz w:val="22"/>
          <w:szCs w:val="22"/>
          <w:u w:val="single"/>
        </w:rPr>
        <w:t>EVENTS</w:t>
      </w:r>
      <w:r w:rsidRPr="00EB3968">
        <w:rPr>
          <w:rFonts w:ascii="Calibri" w:hAnsi="Calibri"/>
          <w:sz w:val="22"/>
          <w:szCs w:val="22"/>
        </w:rPr>
        <w:t xml:space="preserve">  are</w:t>
      </w:r>
      <w:proofErr w:type="gramEnd"/>
      <w:r w:rsidRPr="00EB3968">
        <w:rPr>
          <w:rFonts w:ascii="Calibri" w:hAnsi="Calibri"/>
          <w:sz w:val="22"/>
          <w:szCs w:val="22"/>
        </w:rPr>
        <w:t xml:space="preserve"> a type of ADVERSE PATIENT EVENT. Sentinel Events, as defined by the Joint Commission, are unexpected occurrences involving death, serious physical or psychological injury, or risk thereof.  Serious injury specifically includes permanent loss of limb or function.  The phrase “risk thereof” includes any process variation for which a recurrence would carry a significant chance of serious adverse outcomes. SENTINEL EVENTS signal the need for immediate investigation and response in accordance with the facility’s quality management plan.  Immediate investigations</w:t>
      </w:r>
      <w:r w:rsidRPr="00EB3968">
        <w:rPr>
          <w:rFonts w:ascii="Calibri" w:hAnsi="Calibri"/>
          <w:b/>
          <w:sz w:val="22"/>
          <w:szCs w:val="22"/>
        </w:rPr>
        <w:t xml:space="preserve"> </w:t>
      </w:r>
      <w:r w:rsidRPr="00EB3968">
        <w:rPr>
          <w:rFonts w:ascii="Calibri" w:hAnsi="Calibri"/>
          <w:sz w:val="22"/>
          <w:szCs w:val="22"/>
        </w:rPr>
        <w:t>may be a Root Cause Analysis (RCA), or, in the case of an intentionally unsafe act, administrative action.</w:t>
      </w:r>
    </w:p>
    <w:p w:rsidR="00F444FE" w:rsidRPr="00EB3968" w:rsidRDefault="00F444FE" w:rsidP="00F444FE">
      <w:pPr>
        <w:pStyle w:val="BodyText"/>
        <w:tabs>
          <w:tab w:val="left" w:pos="270"/>
          <w:tab w:val="left" w:pos="540"/>
          <w:tab w:val="left" w:pos="810"/>
        </w:tabs>
        <w:rPr>
          <w:rFonts w:ascii="Calibri" w:hAnsi="Calibri"/>
          <w:b/>
          <w:sz w:val="22"/>
          <w:szCs w:val="22"/>
        </w:rPr>
      </w:pPr>
    </w:p>
    <w:p w:rsidR="00F444FE" w:rsidRPr="00EB3968" w:rsidRDefault="00F444FE" w:rsidP="00F444FE">
      <w:pPr>
        <w:pStyle w:val="BodyText"/>
        <w:numPr>
          <w:ilvl w:val="0"/>
          <w:numId w:val="1"/>
        </w:numPr>
        <w:tabs>
          <w:tab w:val="left" w:pos="270"/>
          <w:tab w:val="left" w:pos="540"/>
          <w:tab w:val="left" w:pos="810"/>
        </w:tabs>
        <w:overflowPunct/>
        <w:autoSpaceDE/>
        <w:autoSpaceDN/>
        <w:adjustRightInd/>
        <w:spacing w:after="0"/>
        <w:textAlignment w:val="auto"/>
        <w:rPr>
          <w:rFonts w:ascii="Calibri" w:hAnsi="Calibri"/>
          <w:b/>
          <w:sz w:val="22"/>
          <w:szCs w:val="22"/>
        </w:rPr>
      </w:pPr>
      <w:r w:rsidRPr="00EB3968">
        <w:rPr>
          <w:rFonts w:ascii="Calibri" w:hAnsi="Calibri"/>
          <w:sz w:val="22"/>
          <w:szCs w:val="22"/>
          <w:u w:val="single"/>
        </w:rPr>
        <w:t xml:space="preserve">A SIGNIFICANT NEAR-MISS EVENT  </w:t>
      </w:r>
      <w:r w:rsidRPr="00EB3968">
        <w:rPr>
          <w:rFonts w:ascii="Calibri" w:hAnsi="Calibri"/>
          <w:sz w:val="22"/>
          <w:szCs w:val="22"/>
        </w:rPr>
        <w:t>is an incident that could have but didn’t cause injury due to timely intervention, chance, or special circumstances (e.g., a patient with penicillin allergy almost receives penicillin that was ordered for another or a nurse happens to realize that a physician wrote an order in the wrong chart).  Significant near misses are those near miss events that could result in the injuries listed in the NQF “Serious Reportable Events” list if not prevented.   Sharing near-missdata throughout our system can help protect against future adverse events.</w:t>
      </w:r>
      <w:r w:rsidRPr="00EB3968">
        <w:rPr>
          <w:rFonts w:ascii="Calibri" w:hAnsi="Calibri"/>
          <w:b/>
          <w:sz w:val="22"/>
          <w:szCs w:val="22"/>
        </w:rPr>
        <w:t xml:space="preserve">  </w:t>
      </w:r>
    </w:p>
    <w:p w:rsidR="00F444FE" w:rsidRPr="00EB3968" w:rsidRDefault="00F444FE" w:rsidP="00F444FE">
      <w:pPr>
        <w:pStyle w:val="Header"/>
        <w:tabs>
          <w:tab w:val="clear" w:pos="4320"/>
          <w:tab w:val="clear" w:pos="8640"/>
        </w:tabs>
        <w:rPr>
          <w:rFonts w:ascii="Calibri" w:hAnsi="Calibri"/>
          <w:sz w:val="22"/>
          <w:szCs w:val="22"/>
        </w:rPr>
      </w:pPr>
    </w:p>
    <w:p w:rsidR="00F444FE" w:rsidRPr="00EB3968" w:rsidRDefault="00F444FE" w:rsidP="00F444FE">
      <w:pPr>
        <w:pStyle w:val="BodyTextIndent"/>
        <w:numPr>
          <w:ilvl w:val="0"/>
          <w:numId w:val="1"/>
        </w:numPr>
        <w:rPr>
          <w:rFonts w:ascii="Calibri" w:hAnsi="Calibri"/>
          <w:sz w:val="22"/>
          <w:szCs w:val="22"/>
        </w:rPr>
      </w:pPr>
      <w:r w:rsidRPr="00EB3968">
        <w:rPr>
          <w:rFonts w:ascii="Calibri" w:hAnsi="Calibri"/>
          <w:sz w:val="22"/>
          <w:szCs w:val="22"/>
          <w:u w:val="single"/>
        </w:rPr>
        <w:t>RCA</w:t>
      </w:r>
      <w:r w:rsidRPr="00EB3968">
        <w:rPr>
          <w:rFonts w:ascii="Calibri" w:hAnsi="Calibri"/>
          <w:b/>
          <w:sz w:val="22"/>
          <w:szCs w:val="22"/>
        </w:rPr>
        <w:t>:</w:t>
      </w:r>
      <w:r w:rsidRPr="00EB3968">
        <w:rPr>
          <w:rFonts w:ascii="Calibri" w:hAnsi="Calibri"/>
          <w:sz w:val="22"/>
          <w:szCs w:val="22"/>
        </w:rPr>
        <w:t xml:space="preserve"> (Root Cause Analysis) Method used to investigate either a Sentinel or Significant Near Miss Event.</w:t>
      </w:r>
    </w:p>
    <w:p w:rsidR="00F444FE" w:rsidRPr="00EB3968" w:rsidRDefault="00F444FE" w:rsidP="00F444FE">
      <w:pPr>
        <w:spacing w:before="80"/>
        <w:ind w:left="360" w:hanging="360"/>
        <w:rPr>
          <w:rFonts w:ascii="Calibri" w:hAnsi="Calibri"/>
          <w:sz w:val="22"/>
          <w:szCs w:val="22"/>
        </w:rPr>
      </w:pPr>
    </w:p>
    <w:p w:rsidR="00F444FE" w:rsidRPr="00EB3968" w:rsidRDefault="00F444FE" w:rsidP="00F444FE">
      <w:pPr>
        <w:spacing w:before="80"/>
        <w:ind w:left="360" w:hanging="360"/>
        <w:rPr>
          <w:rFonts w:ascii="Calibri" w:hAnsi="Calibri"/>
          <w:sz w:val="22"/>
          <w:szCs w:val="22"/>
          <w:u w:val="single"/>
        </w:rPr>
      </w:pPr>
      <w:r w:rsidRPr="00EB3968">
        <w:rPr>
          <w:rFonts w:ascii="Calibri" w:hAnsi="Calibri"/>
          <w:sz w:val="22"/>
          <w:szCs w:val="22"/>
          <w:u w:val="single"/>
        </w:rPr>
        <w:t>REFERENCES:</w:t>
      </w:r>
    </w:p>
    <w:p w:rsidR="00F444FE" w:rsidRPr="00EB3968" w:rsidRDefault="00F444FE" w:rsidP="00F444FE">
      <w:pPr>
        <w:ind w:left="360"/>
        <w:jc w:val="both"/>
        <w:rPr>
          <w:rFonts w:ascii="Calibri" w:hAnsi="Calibri"/>
          <w:b/>
          <w:sz w:val="22"/>
          <w:szCs w:val="22"/>
        </w:rPr>
      </w:pPr>
      <w:r w:rsidRPr="00EB3968">
        <w:rPr>
          <w:rFonts w:ascii="Calibri" w:hAnsi="Calibri"/>
          <w:sz w:val="22"/>
          <w:szCs w:val="22"/>
        </w:rPr>
        <w:t>The Joint Commission, CAMH 2008 Standards manual</w:t>
      </w:r>
    </w:p>
    <w:p w:rsidR="00F444FE" w:rsidRPr="00EB3968" w:rsidRDefault="00F444FE" w:rsidP="00F444FE">
      <w:pPr>
        <w:ind w:left="360"/>
        <w:rPr>
          <w:rFonts w:ascii="Calibri" w:hAnsi="Calibri"/>
          <w:sz w:val="22"/>
          <w:szCs w:val="22"/>
        </w:rPr>
      </w:pPr>
      <w:r w:rsidRPr="00EB3968">
        <w:rPr>
          <w:rFonts w:ascii="Calibri" w:hAnsi="Calibri"/>
          <w:sz w:val="22"/>
          <w:szCs w:val="22"/>
        </w:rPr>
        <w:lastRenderedPageBreak/>
        <w:t>National Quality Forum, 2006 “List of Serious Reportable Events”</w:t>
      </w:r>
    </w:p>
    <w:p w:rsidR="00F444FE" w:rsidRPr="00EB3968" w:rsidRDefault="00F444FE" w:rsidP="00F444FE">
      <w:pPr>
        <w:ind w:left="360"/>
        <w:rPr>
          <w:rFonts w:ascii="Calibri" w:hAnsi="Calibri"/>
          <w:sz w:val="22"/>
          <w:szCs w:val="22"/>
        </w:rPr>
      </w:pPr>
      <w:r w:rsidRPr="00EB3968">
        <w:rPr>
          <w:rFonts w:ascii="Calibri" w:hAnsi="Calibri"/>
          <w:sz w:val="22"/>
          <w:szCs w:val="22"/>
        </w:rPr>
        <w:t>Institute for Healthcare Improvement</w:t>
      </w:r>
    </w:p>
    <w:p w:rsidR="00F444FE" w:rsidRPr="00EB3968" w:rsidRDefault="00F444FE" w:rsidP="00F444FE">
      <w:pPr>
        <w:ind w:left="360"/>
        <w:rPr>
          <w:rFonts w:ascii="Calibri" w:hAnsi="Calibri"/>
          <w:sz w:val="22"/>
          <w:szCs w:val="22"/>
        </w:rPr>
      </w:pPr>
      <w:hyperlink r:id="rId7" w:history="1">
        <w:r w:rsidRPr="00EB3968">
          <w:rPr>
            <w:rStyle w:val="Hyperlink"/>
            <w:rFonts w:ascii="Calibri" w:hAnsi="Calibri"/>
            <w:bCs/>
            <w:sz w:val="22"/>
            <w:szCs w:val="22"/>
          </w:rPr>
          <w:t>When Things Go Wrong: Responding to Adverse Events</w:t>
        </w:r>
      </w:hyperlink>
      <w:r w:rsidRPr="00EB3968">
        <w:rPr>
          <w:rFonts w:ascii="Calibri" w:hAnsi="Calibri"/>
          <w:bCs/>
          <w:sz w:val="22"/>
          <w:szCs w:val="22"/>
        </w:rPr>
        <w:t>: Patient-Centered Care: Patient-Centered Care: General: Literature</w:t>
      </w:r>
      <w:r w:rsidRPr="00EB3968">
        <w:rPr>
          <w:rFonts w:ascii="Calibri" w:hAnsi="Calibri"/>
          <w:sz w:val="22"/>
          <w:szCs w:val="22"/>
        </w:rPr>
        <w:t xml:space="preserve"> …2006. </w:t>
      </w:r>
    </w:p>
    <w:p w:rsidR="00F444FE" w:rsidRPr="00EB3968" w:rsidRDefault="00F444FE" w:rsidP="00F444FE">
      <w:pPr>
        <w:ind w:left="360"/>
        <w:rPr>
          <w:rFonts w:ascii="Calibri" w:hAnsi="Calibri"/>
          <w:sz w:val="22"/>
          <w:szCs w:val="22"/>
        </w:rPr>
      </w:pPr>
    </w:p>
    <w:p w:rsidR="00F444FE" w:rsidRPr="00EB3968" w:rsidRDefault="00F444FE" w:rsidP="00F444FE">
      <w:pPr>
        <w:jc w:val="center"/>
        <w:rPr>
          <w:rFonts w:ascii="Calibri" w:hAnsi="Calibri"/>
          <w:sz w:val="22"/>
          <w:szCs w:val="22"/>
        </w:rPr>
      </w:pPr>
    </w:p>
    <w:p w:rsidR="00F444FE" w:rsidRPr="00EB3968" w:rsidRDefault="00F444FE" w:rsidP="00F444FE">
      <w:pPr>
        <w:jc w:val="center"/>
        <w:rPr>
          <w:rFonts w:ascii="Calibri" w:hAnsi="Calibri"/>
          <w:b/>
          <w:bCs/>
          <w:sz w:val="22"/>
          <w:szCs w:val="22"/>
        </w:rPr>
      </w:pPr>
      <w:r w:rsidRPr="00EB3968">
        <w:rPr>
          <w:rFonts w:ascii="Calibri" w:hAnsi="Calibri"/>
          <w:b/>
          <w:bCs/>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380pt;margin-top:-2.2pt;width:129pt;height:26pt;z-index:251656704" filled="f" stroked="f">
            <v:textbox>
              <w:txbxContent>
                <w:p w:rsidR="00F444FE" w:rsidRDefault="00F444FE" w:rsidP="00F444FE"/>
              </w:txbxContent>
            </v:textbox>
          </v:shape>
        </w:pict>
      </w:r>
      <w:r w:rsidRPr="00EB3968">
        <w:rPr>
          <w:rFonts w:ascii="Calibri" w:hAnsi="Calibri"/>
          <w:b/>
          <w:bCs/>
          <w:sz w:val="22"/>
          <w:szCs w:val="22"/>
        </w:rPr>
        <w:t>Appendix I:   Adverse Patient Events Table</w:t>
      </w:r>
    </w:p>
    <w:p w:rsidR="00F444FE" w:rsidRPr="00EB3968" w:rsidRDefault="00F444FE" w:rsidP="00F444FE">
      <w:pPr>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F444FE" w:rsidRPr="00EB3968" w:rsidTr="00BC16D1">
        <w:tc>
          <w:tcPr>
            <w:tcW w:w="10332" w:type="dxa"/>
            <w:shd w:val="clear" w:color="auto" w:fill="E6E6E6"/>
            <w:vAlign w:val="center"/>
          </w:tcPr>
          <w:p w:rsidR="00F444FE" w:rsidRPr="00EB3968" w:rsidRDefault="00F444FE" w:rsidP="00BC16D1">
            <w:pPr>
              <w:jc w:val="center"/>
              <w:rPr>
                <w:rFonts w:ascii="Calibri" w:hAnsi="Calibri"/>
                <w:b/>
                <w:sz w:val="22"/>
                <w:szCs w:val="22"/>
              </w:rPr>
            </w:pPr>
            <w:r w:rsidRPr="00EB3968">
              <w:rPr>
                <w:rFonts w:ascii="Calibri" w:hAnsi="Calibri"/>
                <w:b/>
                <w:bCs/>
                <w:sz w:val="22"/>
                <w:szCs w:val="22"/>
              </w:rPr>
              <w:t>CMS Hospital Acquired Conditions</w:t>
            </w:r>
          </w:p>
        </w:tc>
      </w:tr>
      <w:tr w:rsidR="00F444FE" w:rsidRPr="00EB3968" w:rsidTr="00BC16D1">
        <w:tc>
          <w:tcPr>
            <w:tcW w:w="10332" w:type="dxa"/>
            <w:vAlign w:val="center"/>
          </w:tcPr>
          <w:p w:rsidR="00F444FE" w:rsidRPr="00EB3968" w:rsidRDefault="00F444FE" w:rsidP="00BC16D1">
            <w:pPr>
              <w:rPr>
                <w:rFonts w:ascii="Calibri" w:hAnsi="Calibri"/>
                <w:sz w:val="22"/>
                <w:szCs w:val="22"/>
              </w:rPr>
            </w:pPr>
            <w:r w:rsidRPr="00EB3968">
              <w:rPr>
                <w:rFonts w:ascii="Calibri" w:hAnsi="Calibri"/>
                <w:sz w:val="22"/>
                <w:szCs w:val="22"/>
              </w:rPr>
              <w:t>Catheter Associated Urinary Tract Infection (CAUTI)</w:t>
            </w:r>
          </w:p>
        </w:tc>
      </w:tr>
      <w:tr w:rsidR="00F444FE" w:rsidRPr="00EB3968" w:rsidTr="00BC16D1">
        <w:tc>
          <w:tcPr>
            <w:tcW w:w="10332" w:type="dxa"/>
            <w:vAlign w:val="center"/>
          </w:tcPr>
          <w:p w:rsidR="00F444FE" w:rsidRPr="00EB3968" w:rsidRDefault="00F444FE" w:rsidP="00BC16D1">
            <w:pPr>
              <w:rPr>
                <w:rFonts w:ascii="Calibri" w:hAnsi="Calibri"/>
                <w:b/>
                <w:sz w:val="22"/>
                <w:szCs w:val="22"/>
              </w:rPr>
            </w:pPr>
            <w:r w:rsidRPr="00EB3968">
              <w:rPr>
                <w:rFonts w:ascii="Calibri" w:hAnsi="Calibri"/>
                <w:sz w:val="22"/>
                <w:szCs w:val="22"/>
              </w:rPr>
              <w:t>Pressure Ulcers (Category III and IV, only)</w:t>
            </w:r>
          </w:p>
        </w:tc>
      </w:tr>
      <w:tr w:rsidR="00F444FE" w:rsidRPr="00EB3968" w:rsidTr="00BC16D1">
        <w:tc>
          <w:tcPr>
            <w:tcW w:w="10332" w:type="dxa"/>
            <w:vAlign w:val="center"/>
          </w:tcPr>
          <w:p w:rsidR="00F444FE" w:rsidRPr="00EB3968" w:rsidRDefault="00F444FE" w:rsidP="00BC16D1">
            <w:pPr>
              <w:rPr>
                <w:rFonts w:ascii="Calibri" w:hAnsi="Calibri"/>
                <w:b/>
                <w:sz w:val="22"/>
                <w:szCs w:val="22"/>
              </w:rPr>
            </w:pPr>
            <w:r w:rsidRPr="00EB3968">
              <w:rPr>
                <w:rFonts w:ascii="Calibri" w:hAnsi="Calibri"/>
                <w:sz w:val="22"/>
                <w:szCs w:val="22"/>
              </w:rPr>
              <w:t>Object left in during surgery</w:t>
            </w:r>
          </w:p>
        </w:tc>
      </w:tr>
      <w:tr w:rsidR="00F444FE" w:rsidRPr="00EB3968" w:rsidTr="00BC16D1">
        <w:tc>
          <w:tcPr>
            <w:tcW w:w="10332" w:type="dxa"/>
            <w:vAlign w:val="center"/>
          </w:tcPr>
          <w:p w:rsidR="00F444FE" w:rsidRPr="00EB3968" w:rsidRDefault="00F444FE" w:rsidP="00BC16D1">
            <w:pPr>
              <w:rPr>
                <w:rFonts w:ascii="Calibri" w:hAnsi="Calibri"/>
                <w:b/>
                <w:sz w:val="22"/>
                <w:szCs w:val="22"/>
              </w:rPr>
            </w:pPr>
            <w:r w:rsidRPr="00EB3968">
              <w:rPr>
                <w:rFonts w:ascii="Calibri" w:hAnsi="Calibri"/>
                <w:sz w:val="22"/>
                <w:szCs w:val="22"/>
              </w:rPr>
              <w:t>Air Embolism</w:t>
            </w:r>
          </w:p>
        </w:tc>
      </w:tr>
      <w:tr w:rsidR="00F444FE" w:rsidRPr="00EB3968" w:rsidTr="00BC16D1">
        <w:tc>
          <w:tcPr>
            <w:tcW w:w="10332" w:type="dxa"/>
            <w:vAlign w:val="center"/>
          </w:tcPr>
          <w:p w:rsidR="00F444FE" w:rsidRPr="00EB3968" w:rsidRDefault="00F444FE" w:rsidP="00BC16D1">
            <w:pPr>
              <w:rPr>
                <w:rFonts w:ascii="Calibri" w:hAnsi="Calibri"/>
                <w:b/>
                <w:sz w:val="22"/>
                <w:szCs w:val="22"/>
              </w:rPr>
            </w:pPr>
            <w:r w:rsidRPr="00EB3968">
              <w:rPr>
                <w:rFonts w:ascii="Calibri" w:hAnsi="Calibri"/>
                <w:sz w:val="22"/>
                <w:szCs w:val="22"/>
              </w:rPr>
              <w:t>Blood Incompatibility (i.e., delivery of ABO incompatible blood products)</w:t>
            </w:r>
          </w:p>
        </w:tc>
      </w:tr>
      <w:tr w:rsidR="00F444FE" w:rsidRPr="00EB3968" w:rsidTr="00BC16D1">
        <w:tc>
          <w:tcPr>
            <w:tcW w:w="10332" w:type="dxa"/>
            <w:vAlign w:val="center"/>
          </w:tcPr>
          <w:p w:rsidR="00F444FE" w:rsidRPr="00EB3968" w:rsidRDefault="00F444FE" w:rsidP="00BC16D1">
            <w:pPr>
              <w:rPr>
                <w:rFonts w:ascii="Calibri" w:hAnsi="Calibri"/>
                <w:b/>
                <w:sz w:val="22"/>
                <w:szCs w:val="22"/>
              </w:rPr>
            </w:pPr>
            <w:r w:rsidRPr="00EB3968">
              <w:rPr>
                <w:rFonts w:ascii="Calibri" w:hAnsi="Calibri"/>
                <w:sz w:val="22"/>
                <w:szCs w:val="22"/>
              </w:rPr>
              <w:t>Vascular catheter associated blood stream infections (CLABSI)</w:t>
            </w:r>
          </w:p>
        </w:tc>
      </w:tr>
      <w:tr w:rsidR="00F444FE" w:rsidRPr="00EB3968" w:rsidTr="00BC16D1">
        <w:tc>
          <w:tcPr>
            <w:tcW w:w="10332" w:type="dxa"/>
            <w:vAlign w:val="center"/>
          </w:tcPr>
          <w:p w:rsidR="00F444FE" w:rsidRPr="00EB3968" w:rsidRDefault="00F444FE" w:rsidP="00BC16D1">
            <w:pPr>
              <w:rPr>
                <w:rFonts w:ascii="Calibri" w:hAnsi="Calibri"/>
                <w:sz w:val="22"/>
                <w:szCs w:val="22"/>
              </w:rPr>
            </w:pPr>
            <w:r w:rsidRPr="00EB3968">
              <w:rPr>
                <w:rFonts w:ascii="Calibri" w:hAnsi="Calibri"/>
                <w:sz w:val="22"/>
                <w:szCs w:val="22"/>
              </w:rPr>
              <w:t>Surgical Site Infections (SSI) e.g., Mediastinitis after coronary artery bypass graft surgery</w:t>
            </w:r>
          </w:p>
        </w:tc>
      </w:tr>
      <w:tr w:rsidR="00F444FE" w:rsidRPr="00EB3968" w:rsidTr="00BC16D1">
        <w:tc>
          <w:tcPr>
            <w:tcW w:w="10332" w:type="dxa"/>
            <w:vAlign w:val="center"/>
          </w:tcPr>
          <w:p w:rsidR="00F444FE" w:rsidRPr="00EB3968" w:rsidRDefault="00F444FE" w:rsidP="00BC16D1">
            <w:pPr>
              <w:rPr>
                <w:rFonts w:ascii="Calibri" w:hAnsi="Calibri"/>
                <w:sz w:val="22"/>
                <w:szCs w:val="22"/>
              </w:rPr>
            </w:pPr>
            <w:r w:rsidRPr="00EB3968">
              <w:rPr>
                <w:rFonts w:ascii="Calibri" w:hAnsi="Calibri"/>
                <w:sz w:val="22"/>
                <w:szCs w:val="22"/>
              </w:rPr>
              <w:t>Falls, resulting in fractures, dislocations, intracranial or crushing injury and burns</w:t>
            </w:r>
          </w:p>
          <w:p w:rsidR="00F444FE" w:rsidRPr="00EB3968" w:rsidRDefault="00F444FE" w:rsidP="00BC16D1">
            <w:pPr>
              <w:rPr>
                <w:rFonts w:ascii="Calibri" w:hAnsi="Calibri"/>
                <w:sz w:val="22"/>
                <w:szCs w:val="22"/>
              </w:rPr>
            </w:pPr>
            <w:r w:rsidRPr="00EB3968">
              <w:rPr>
                <w:rFonts w:ascii="Calibri" w:hAnsi="Calibri"/>
                <w:noProof/>
                <w:sz w:val="22"/>
                <w:szCs w:val="22"/>
              </w:rPr>
              <w:pict>
                <v:shapetype id="_x0000_t32" coordsize="21600,21600" o:spt="32" o:oned="t" path="m,l21600,21600e" filled="f">
                  <v:path arrowok="t" fillok="f" o:connecttype="none"/>
                  <o:lock v:ext="edit" shapetype="t"/>
                </v:shapetype>
                <v:shape id="_x0000_s1028" type="#_x0000_t32" style="position:absolute;margin-left:-5.55pt;margin-top:0;width:515.25pt;height:0;z-index:251657728" o:connectortype="straight"/>
              </w:pict>
            </w:r>
            <w:r w:rsidRPr="00EB3968">
              <w:rPr>
                <w:rFonts w:ascii="Calibri" w:hAnsi="Calibri"/>
                <w:sz w:val="22"/>
                <w:szCs w:val="22"/>
              </w:rPr>
              <w:t>Venous thromboembolism (VTE) after hip or knee replacement</w:t>
            </w:r>
          </w:p>
          <w:p w:rsidR="00F444FE" w:rsidRPr="00EB3968" w:rsidRDefault="00F444FE" w:rsidP="00BC16D1">
            <w:pPr>
              <w:rPr>
                <w:rFonts w:ascii="Calibri" w:hAnsi="Calibri"/>
                <w:b/>
                <w:sz w:val="22"/>
                <w:szCs w:val="22"/>
              </w:rPr>
            </w:pPr>
            <w:r w:rsidRPr="00EB3968">
              <w:rPr>
                <w:rFonts w:ascii="Calibri" w:hAnsi="Calibri"/>
                <w:noProof/>
                <w:sz w:val="22"/>
                <w:szCs w:val="22"/>
              </w:rPr>
              <w:pict>
                <v:shape id="_x0000_s1029" type="#_x0000_t32" style="position:absolute;margin-left:-5.3pt;margin-top:1pt;width:515.25pt;height:0;z-index:251658752" o:connectortype="straight"/>
              </w:pict>
            </w:r>
            <w:r w:rsidRPr="00EB3968">
              <w:rPr>
                <w:rFonts w:ascii="Calibri" w:hAnsi="Calibri"/>
                <w:sz w:val="22"/>
                <w:szCs w:val="22"/>
              </w:rPr>
              <w:t>Poor Glycemic control (i.e., resulting in ketoacidosis and (hypoglycemic and hypoosmolar) coma)</w:t>
            </w:r>
          </w:p>
        </w:tc>
      </w:tr>
      <w:tr w:rsidR="00F444FE" w:rsidRPr="00EB3968" w:rsidTr="00BC16D1">
        <w:tc>
          <w:tcPr>
            <w:tcW w:w="10332" w:type="dxa"/>
            <w:shd w:val="clear" w:color="auto" w:fill="E6E6E6"/>
            <w:vAlign w:val="center"/>
          </w:tcPr>
          <w:p w:rsidR="00F444FE" w:rsidRPr="00EB3968" w:rsidRDefault="00F444FE" w:rsidP="00BC16D1">
            <w:pPr>
              <w:jc w:val="center"/>
              <w:rPr>
                <w:rFonts w:ascii="Calibri" w:hAnsi="Calibri"/>
                <w:b/>
                <w:sz w:val="22"/>
                <w:szCs w:val="22"/>
              </w:rPr>
            </w:pPr>
            <w:r w:rsidRPr="00EB3968">
              <w:rPr>
                <w:rFonts w:ascii="Calibri" w:hAnsi="Calibri"/>
                <w:b/>
                <w:bCs/>
                <w:sz w:val="22"/>
                <w:szCs w:val="22"/>
              </w:rPr>
              <w:t>CMS Reportable Events</w:t>
            </w:r>
          </w:p>
        </w:tc>
      </w:tr>
      <w:tr w:rsidR="00F444FE" w:rsidRPr="00EB3968" w:rsidTr="00BC16D1">
        <w:tc>
          <w:tcPr>
            <w:tcW w:w="10332" w:type="dxa"/>
            <w:vAlign w:val="center"/>
          </w:tcPr>
          <w:p w:rsidR="00F444FE" w:rsidRPr="00EB3968" w:rsidRDefault="00F444FE" w:rsidP="00BC16D1">
            <w:pPr>
              <w:rPr>
                <w:rFonts w:ascii="Calibri" w:hAnsi="Calibri"/>
                <w:sz w:val="22"/>
                <w:szCs w:val="22"/>
              </w:rPr>
            </w:pPr>
            <w:r w:rsidRPr="00EB3968">
              <w:rPr>
                <w:rFonts w:ascii="Calibri" w:hAnsi="Calibri"/>
                <w:sz w:val="22"/>
                <w:szCs w:val="22"/>
              </w:rPr>
              <w:t xml:space="preserve">Restraint related death </w:t>
            </w:r>
          </w:p>
        </w:tc>
      </w:tr>
      <w:tr w:rsidR="00F444FE" w:rsidRPr="00EB3968" w:rsidTr="00BC16D1">
        <w:tc>
          <w:tcPr>
            <w:tcW w:w="10332" w:type="dxa"/>
            <w:shd w:val="clear" w:color="auto" w:fill="E6E6E6"/>
            <w:vAlign w:val="center"/>
          </w:tcPr>
          <w:p w:rsidR="00F444FE" w:rsidRPr="00EB3968" w:rsidRDefault="00F444FE" w:rsidP="00BC16D1">
            <w:pPr>
              <w:jc w:val="center"/>
              <w:rPr>
                <w:rFonts w:ascii="Calibri" w:hAnsi="Calibri"/>
                <w:b/>
                <w:sz w:val="22"/>
                <w:szCs w:val="22"/>
              </w:rPr>
            </w:pPr>
            <w:r w:rsidRPr="00EB3968">
              <w:rPr>
                <w:rFonts w:ascii="Calibri" w:hAnsi="Calibri"/>
                <w:b/>
                <w:sz w:val="22"/>
                <w:szCs w:val="22"/>
              </w:rPr>
              <w:t xml:space="preserve">NQF’s Serious Reportable Events </w:t>
            </w:r>
          </w:p>
        </w:tc>
      </w:tr>
      <w:tr w:rsidR="00F444FE" w:rsidRPr="00EB3968" w:rsidTr="00BC16D1">
        <w:tc>
          <w:tcPr>
            <w:tcW w:w="10332" w:type="dxa"/>
            <w:vAlign w:val="center"/>
          </w:tcPr>
          <w:p w:rsidR="00F444FE" w:rsidRPr="00EB3968" w:rsidRDefault="00F444FE" w:rsidP="00BC16D1">
            <w:pPr>
              <w:rPr>
                <w:rFonts w:ascii="Calibri" w:hAnsi="Calibri"/>
                <w:b/>
                <w:bCs/>
                <w:sz w:val="22"/>
                <w:szCs w:val="22"/>
              </w:rPr>
            </w:pPr>
            <w:r w:rsidRPr="00EB3968">
              <w:rPr>
                <w:rFonts w:ascii="Calibri" w:hAnsi="Calibri"/>
                <w:b/>
                <w:bCs/>
                <w:sz w:val="22"/>
                <w:szCs w:val="22"/>
              </w:rPr>
              <w:t>Surgical Events</w:t>
            </w:r>
          </w:p>
          <w:p w:rsidR="00F444FE" w:rsidRPr="00EB3968" w:rsidRDefault="00F444FE" w:rsidP="00F444FE">
            <w:pPr>
              <w:numPr>
                <w:ilvl w:val="0"/>
                <w:numId w:val="2"/>
              </w:numPr>
              <w:autoSpaceDE w:val="0"/>
              <w:autoSpaceDN w:val="0"/>
              <w:adjustRightInd w:val="0"/>
              <w:rPr>
                <w:rFonts w:ascii="Calibri" w:hAnsi="Calibri"/>
                <w:sz w:val="22"/>
                <w:szCs w:val="22"/>
              </w:rPr>
            </w:pPr>
            <w:r w:rsidRPr="00EB3968">
              <w:rPr>
                <w:rFonts w:ascii="Calibri" w:hAnsi="Calibri"/>
                <w:sz w:val="22"/>
                <w:szCs w:val="22"/>
              </w:rPr>
              <w:t>Surgery performed on the wrong body part</w:t>
            </w:r>
          </w:p>
          <w:p w:rsidR="00F444FE" w:rsidRPr="00EB3968" w:rsidRDefault="00F444FE" w:rsidP="00F444FE">
            <w:pPr>
              <w:numPr>
                <w:ilvl w:val="0"/>
                <w:numId w:val="2"/>
              </w:numPr>
              <w:autoSpaceDE w:val="0"/>
              <w:autoSpaceDN w:val="0"/>
              <w:adjustRightInd w:val="0"/>
              <w:rPr>
                <w:rFonts w:ascii="Calibri" w:hAnsi="Calibri"/>
                <w:sz w:val="22"/>
                <w:szCs w:val="22"/>
              </w:rPr>
            </w:pPr>
            <w:r w:rsidRPr="00EB3968">
              <w:rPr>
                <w:rFonts w:ascii="Calibri" w:hAnsi="Calibri"/>
                <w:sz w:val="22"/>
                <w:szCs w:val="22"/>
              </w:rPr>
              <w:t>Surgery performed on the wrong patient</w:t>
            </w:r>
          </w:p>
          <w:p w:rsidR="00F444FE" w:rsidRPr="00EB3968" w:rsidRDefault="00F444FE" w:rsidP="00F444FE">
            <w:pPr>
              <w:numPr>
                <w:ilvl w:val="0"/>
                <w:numId w:val="2"/>
              </w:numPr>
              <w:autoSpaceDE w:val="0"/>
              <w:autoSpaceDN w:val="0"/>
              <w:adjustRightInd w:val="0"/>
              <w:rPr>
                <w:rFonts w:ascii="Calibri" w:hAnsi="Calibri"/>
                <w:sz w:val="22"/>
                <w:szCs w:val="22"/>
              </w:rPr>
            </w:pPr>
            <w:r w:rsidRPr="00EB3968">
              <w:rPr>
                <w:rFonts w:ascii="Calibri" w:hAnsi="Calibri"/>
                <w:sz w:val="22"/>
                <w:szCs w:val="22"/>
              </w:rPr>
              <w:t>Wrong surgical procedure performed on a patient</w:t>
            </w:r>
          </w:p>
          <w:p w:rsidR="00F444FE" w:rsidRPr="00EB3968" w:rsidRDefault="00F444FE" w:rsidP="00F444FE">
            <w:pPr>
              <w:numPr>
                <w:ilvl w:val="0"/>
                <w:numId w:val="2"/>
              </w:numPr>
              <w:autoSpaceDE w:val="0"/>
              <w:autoSpaceDN w:val="0"/>
              <w:adjustRightInd w:val="0"/>
              <w:rPr>
                <w:rFonts w:ascii="Calibri" w:hAnsi="Calibri"/>
                <w:sz w:val="22"/>
                <w:szCs w:val="22"/>
              </w:rPr>
            </w:pPr>
            <w:r w:rsidRPr="00EB3968">
              <w:rPr>
                <w:rFonts w:ascii="Calibri" w:hAnsi="Calibri"/>
                <w:sz w:val="22"/>
                <w:szCs w:val="22"/>
              </w:rPr>
              <w:t>Unintended retention of a foreign object in a patient after surgery or other procedure</w:t>
            </w:r>
          </w:p>
          <w:p w:rsidR="00F444FE" w:rsidRPr="00EB3968" w:rsidRDefault="00F444FE" w:rsidP="00F444FE">
            <w:pPr>
              <w:numPr>
                <w:ilvl w:val="0"/>
                <w:numId w:val="2"/>
              </w:numPr>
              <w:autoSpaceDE w:val="0"/>
              <w:autoSpaceDN w:val="0"/>
              <w:adjustRightInd w:val="0"/>
              <w:rPr>
                <w:rFonts w:ascii="Calibri" w:hAnsi="Calibri"/>
                <w:b/>
                <w:bCs/>
                <w:sz w:val="22"/>
                <w:szCs w:val="22"/>
              </w:rPr>
            </w:pPr>
            <w:r w:rsidRPr="00EB3968">
              <w:rPr>
                <w:rFonts w:ascii="Calibri" w:hAnsi="Calibri"/>
                <w:sz w:val="22"/>
                <w:szCs w:val="22"/>
              </w:rPr>
              <w:t>Intra-operative or immediately post-operative death (24hrs) in an ASA Class I patient</w:t>
            </w:r>
          </w:p>
        </w:tc>
      </w:tr>
      <w:tr w:rsidR="00F444FE" w:rsidRPr="00EB3968" w:rsidTr="00BC16D1">
        <w:tc>
          <w:tcPr>
            <w:tcW w:w="10332" w:type="dxa"/>
            <w:vAlign w:val="center"/>
          </w:tcPr>
          <w:p w:rsidR="00F444FE" w:rsidRPr="00EB3968" w:rsidRDefault="00F444FE" w:rsidP="00BC16D1">
            <w:pPr>
              <w:rPr>
                <w:rFonts w:ascii="Calibri" w:hAnsi="Calibri"/>
                <w:b/>
                <w:bCs/>
                <w:sz w:val="22"/>
                <w:szCs w:val="22"/>
              </w:rPr>
            </w:pPr>
            <w:r w:rsidRPr="00EB3968">
              <w:rPr>
                <w:rFonts w:ascii="Calibri" w:hAnsi="Calibri"/>
                <w:b/>
                <w:bCs/>
                <w:sz w:val="22"/>
                <w:szCs w:val="22"/>
              </w:rPr>
              <w:t>Product or Device Events</w:t>
            </w:r>
          </w:p>
          <w:p w:rsidR="00F444FE" w:rsidRPr="00EB3968" w:rsidRDefault="00F444FE" w:rsidP="00F444FE">
            <w:pPr>
              <w:numPr>
                <w:ilvl w:val="0"/>
                <w:numId w:val="4"/>
              </w:numPr>
              <w:autoSpaceDE w:val="0"/>
              <w:autoSpaceDN w:val="0"/>
              <w:adjustRightInd w:val="0"/>
              <w:ind w:left="342" w:hanging="342"/>
              <w:rPr>
                <w:rFonts w:ascii="Calibri" w:hAnsi="Calibri"/>
                <w:sz w:val="22"/>
                <w:szCs w:val="22"/>
              </w:rPr>
            </w:pPr>
            <w:r w:rsidRPr="00EB3968">
              <w:rPr>
                <w:rFonts w:ascii="Calibri" w:hAnsi="Calibri"/>
                <w:sz w:val="22"/>
                <w:szCs w:val="22"/>
              </w:rPr>
              <w:t>Patient death or serious disability associated with the use of contaminated drugs, devices, or biologics provided by the healthcare facility</w:t>
            </w:r>
          </w:p>
          <w:p w:rsidR="00F444FE" w:rsidRPr="00EB3968" w:rsidRDefault="00F444FE" w:rsidP="00F444FE">
            <w:pPr>
              <w:numPr>
                <w:ilvl w:val="0"/>
                <w:numId w:val="4"/>
              </w:numPr>
              <w:autoSpaceDE w:val="0"/>
              <w:autoSpaceDN w:val="0"/>
              <w:adjustRightInd w:val="0"/>
              <w:ind w:left="342" w:hanging="342"/>
              <w:rPr>
                <w:rFonts w:ascii="Calibri" w:hAnsi="Calibri"/>
                <w:sz w:val="22"/>
                <w:szCs w:val="22"/>
              </w:rPr>
            </w:pPr>
            <w:r w:rsidRPr="00EB3968">
              <w:rPr>
                <w:rFonts w:ascii="Calibri" w:hAnsi="Calibri"/>
                <w:sz w:val="22"/>
                <w:szCs w:val="22"/>
              </w:rPr>
              <w:t>Patient death or serious disability associated with the use or function of a device in patient care, in which the device is used or functions other than as intended</w:t>
            </w:r>
          </w:p>
          <w:p w:rsidR="00F444FE" w:rsidRPr="00EB3968" w:rsidRDefault="00F444FE" w:rsidP="00F444FE">
            <w:pPr>
              <w:numPr>
                <w:ilvl w:val="0"/>
                <w:numId w:val="4"/>
              </w:numPr>
              <w:autoSpaceDE w:val="0"/>
              <w:autoSpaceDN w:val="0"/>
              <w:adjustRightInd w:val="0"/>
              <w:ind w:left="342" w:hanging="342"/>
              <w:rPr>
                <w:rFonts w:ascii="Calibri" w:hAnsi="Calibri"/>
                <w:sz w:val="22"/>
                <w:szCs w:val="22"/>
              </w:rPr>
            </w:pPr>
            <w:r w:rsidRPr="00EB3968">
              <w:rPr>
                <w:rFonts w:ascii="Calibri" w:hAnsi="Calibri"/>
                <w:sz w:val="22"/>
                <w:szCs w:val="22"/>
              </w:rPr>
              <w:t>Patient death or serious disability associated with intravascular air embolism that occurs while being cared for in a healthcare facility</w:t>
            </w:r>
          </w:p>
        </w:tc>
      </w:tr>
      <w:tr w:rsidR="00F444FE" w:rsidRPr="00EB3968" w:rsidTr="00BC16D1">
        <w:tc>
          <w:tcPr>
            <w:tcW w:w="10332" w:type="dxa"/>
            <w:vAlign w:val="center"/>
          </w:tcPr>
          <w:p w:rsidR="00F444FE" w:rsidRPr="00EB3968" w:rsidRDefault="00F444FE" w:rsidP="00BC16D1">
            <w:pPr>
              <w:rPr>
                <w:rFonts w:ascii="Calibri" w:hAnsi="Calibri"/>
                <w:b/>
                <w:bCs/>
                <w:sz w:val="22"/>
                <w:szCs w:val="22"/>
              </w:rPr>
            </w:pPr>
            <w:r w:rsidRPr="00EB3968">
              <w:rPr>
                <w:rFonts w:ascii="Calibri" w:hAnsi="Calibri"/>
                <w:b/>
                <w:bCs/>
                <w:sz w:val="22"/>
                <w:szCs w:val="22"/>
              </w:rPr>
              <w:t>Patient Protection Events</w:t>
            </w:r>
          </w:p>
          <w:p w:rsidR="00F444FE" w:rsidRPr="00EB3968" w:rsidRDefault="00F444FE" w:rsidP="00F444FE">
            <w:pPr>
              <w:numPr>
                <w:ilvl w:val="0"/>
                <w:numId w:val="5"/>
              </w:numPr>
              <w:autoSpaceDE w:val="0"/>
              <w:autoSpaceDN w:val="0"/>
              <w:adjustRightInd w:val="0"/>
              <w:ind w:left="342"/>
              <w:rPr>
                <w:rFonts w:ascii="Calibri" w:hAnsi="Calibri"/>
                <w:sz w:val="22"/>
                <w:szCs w:val="22"/>
              </w:rPr>
            </w:pPr>
            <w:r w:rsidRPr="00EB3968">
              <w:rPr>
                <w:rFonts w:ascii="Calibri" w:hAnsi="Calibri"/>
                <w:sz w:val="22"/>
                <w:szCs w:val="22"/>
              </w:rPr>
              <w:t>Infant discharged to the wrong person</w:t>
            </w:r>
          </w:p>
          <w:p w:rsidR="00F444FE" w:rsidRPr="00EB3968" w:rsidRDefault="00F444FE" w:rsidP="00F444FE">
            <w:pPr>
              <w:numPr>
                <w:ilvl w:val="0"/>
                <w:numId w:val="5"/>
              </w:numPr>
              <w:ind w:left="342"/>
              <w:rPr>
                <w:rFonts w:ascii="Calibri" w:hAnsi="Calibri"/>
                <w:sz w:val="22"/>
                <w:szCs w:val="22"/>
              </w:rPr>
            </w:pPr>
            <w:r w:rsidRPr="00EB3968">
              <w:rPr>
                <w:rFonts w:ascii="Calibri" w:hAnsi="Calibri"/>
                <w:sz w:val="22"/>
                <w:szCs w:val="22"/>
              </w:rPr>
              <w:t>Patient death or serious disability associated with patient elopement (disappearance)</w:t>
            </w:r>
          </w:p>
          <w:p w:rsidR="00F444FE" w:rsidRPr="00EB3968" w:rsidRDefault="00F444FE" w:rsidP="00F444FE">
            <w:pPr>
              <w:numPr>
                <w:ilvl w:val="0"/>
                <w:numId w:val="5"/>
              </w:numPr>
              <w:ind w:left="342"/>
              <w:rPr>
                <w:rFonts w:ascii="Calibri" w:hAnsi="Calibri"/>
                <w:sz w:val="22"/>
                <w:szCs w:val="22"/>
              </w:rPr>
            </w:pPr>
            <w:r w:rsidRPr="00EB3968">
              <w:rPr>
                <w:rFonts w:ascii="Calibri" w:hAnsi="Calibri"/>
                <w:sz w:val="22"/>
                <w:szCs w:val="22"/>
              </w:rPr>
              <w:t>Patient suicide, or attempted suicide resulting in serious disability, while being cared for in a healthcare facility</w:t>
            </w:r>
          </w:p>
        </w:tc>
      </w:tr>
      <w:tr w:rsidR="00F444FE" w:rsidRPr="00EB3968" w:rsidTr="00BC16D1">
        <w:tc>
          <w:tcPr>
            <w:tcW w:w="10332" w:type="dxa"/>
            <w:vAlign w:val="center"/>
          </w:tcPr>
          <w:p w:rsidR="00F444FE" w:rsidRPr="00EB3968" w:rsidRDefault="00F444FE" w:rsidP="00BC16D1">
            <w:pPr>
              <w:rPr>
                <w:rFonts w:ascii="Calibri" w:hAnsi="Calibri"/>
                <w:b/>
                <w:bCs/>
                <w:sz w:val="22"/>
                <w:szCs w:val="22"/>
              </w:rPr>
            </w:pPr>
            <w:r w:rsidRPr="00EB3968">
              <w:rPr>
                <w:rFonts w:ascii="Calibri" w:hAnsi="Calibri"/>
                <w:b/>
                <w:bCs/>
                <w:sz w:val="22"/>
                <w:szCs w:val="22"/>
              </w:rPr>
              <w:t>Care Management Events</w:t>
            </w:r>
          </w:p>
          <w:p w:rsidR="00F444FE" w:rsidRPr="00EB3968" w:rsidRDefault="00F444FE" w:rsidP="00F444FE">
            <w:pPr>
              <w:numPr>
                <w:ilvl w:val="0"/>
                <w:numId w:val="5"/>
              </w:numPr>
              <w:autoSpaceDE w:val="0"/>
              <w:autoSpaceDN w:val="0"/>
              <w:adjustRightInd w:val="0"/>
              <w:rPr>
                <w:rFonts w:ascii="Calibri" w:hAnsi="Calibri"/>
                <w:sz w:val="22"/>
                <w:szCs w:val="22"/>
              </w:rPr>
            </w:pPr>
            <w:r w:rsidRPr="00EB3968">
              <w:rPr>
                <w:rFonts w:ascii="Calibri" w:hAnsi="Calibri"/>
                <w:sz w:val="22"/>
                <w:szCs w:val="22"/>
              </w:rPr>
              <w:t>Patient death or serious disability associated with a medication error (e.g., errors involving the wrong drug, wrong dose, wrong patient, wrong time, wrong rate, wrong preparation or wrong route of administration)</w:t>
            </w:r>
          </w:p>
          <w:p w:rsidR="00F444FE" w:rsidRPr="00EB3968" w:rsidRDefault="00F444FE" w:rsidP="00F444FE">
            <w:pPr>
              <w:numPr>
                <w:ilvl w:val="0"/>
                <w:numId w:val="5"/>
              </w:numPr>
              <w:autoSpaceDE w:val="0"/>
              <w:autoSpaceDN w:val="0"/>
              <w:adjustRightInd w:val="0"/>
              <w:rPr>
                <w:rFonts w:ascii="Calibri" w:hAnsi="Calibri"/>
                <w:sz w:val="22"/>
                <w:szCs w:val="22"/>
              </w:rPr>
            </w:pPr>
            <w:r w:rsidRPr="00EB3968">
              <w:rPr>
                <w:rFonts w:ascii="Calibri" w:hAnsi="Calibri"/>
                <w:sz w:val="22"/>
                <w:szCs w:val="22"/>
              </w:rPr>
              <w:t xml:space="preserve">Patient death or serious disability associated with a hemolytic reaction due to the </w:t>
            </w:r>
            <w:r w:rsidRPr="00EB3968">
              <w:rPr>
                <w:rFonts w:ascii="Calibri" w:hAnsi="Calibri"/>
                <w:sz w:val="22"/>
                <w:szCs w:val="22"/>
              </w:rPr>
              <w:lastRenderedPageBreak/>
              <w:t>administration of ABO/HLA-incompatible blood or blood products</w:t>
            </w:r>
          </w:p>
          <w:p w:rsidR="00F444FE" w:rsidRPr="00EB3968" w:rsidRDefault="00F444FE" w:rsidP="00F444FE">
            <w:pPr>
              <w:numPr>
                <w:ilvl w:val="0"/>
                <w:numId w:val="5"/>
              </w:numPr>
              <w:autoSpaceDE w:val="0"/>
              <w:autoSpaceDN w:val="0"/>
              <w:adjustRightInd w:val="0"/>
              <w:rPr>
                <w:rFonts w:ascii="Calibri" w:hAnsi="Calibri"/>
                <w:sz w:val="22"/>
                <w:szCs w:val="22"/>
              </w:rPr>
            </w:pPr>
            <w:r w:rsidRPr="00EB3968">
              <w:rPr>
                <w:rFonts w:ascii="Calibri" w:hAnsi="Calibri"/>
                <w:sz w:val="22"/>
                <w:szCs w:val="22"/>
              </w:rPr>
              <w:t>Maternal death or serious disability associated with labor or delivery in a low-risk pregnancy while being cared for in a health care facility</w:t>
            </w:r>
          </w:p>
          <w:p w:rsidR="00F444FE" w:rsidRPr="00EB3968" w:rsidRDefault="00F444FE" w:rsidP="00F444FE">
            <w:pPr>
              <w:numPr>
                <w:ilvl w:val="0"/>
                <w:numId w:val="5"/>
              </w:numPr>
              <w:autoSpaceDE w:val="0"/>
              <w:autoSpaceDN w:val="0"/>
              <w:adjustRightInd w:val="0"/>
              <w:rPr>
                <w:rFonts w:ascii="Calibri" w:hAnsi="Calibri"/>
                <w:sz w:val="22"/>
                <w:szCs w:val="22"/>
              </w:rPr>
            </w:pPr>
            <w:r w:rsidRPr="00EB3968">
              <w:rPr>
                <w:rFonts w:ascii="Calibri" w:hAnsi="Calibri"/>
                <w:sz w:val="22"/>
                <w:szCs w:val="22"/>
              </w:rPr>
              <w:t>Patient death or serious disability associated with hypoglycemia, the onset of which occurs while the patient is being cared for in a healthcare facility</w:t>
            </w:r>
          </w:p>
          <w:p w:rsidR="00F444FE" w:rsidRPr="00EB3968" w:rsidRDefault="00F444FE" w:rsidP="00F444FE">
            <w:pPr>
              <w:numPr>
                <w:ilvl w:val="0"/>
                <w:numId w:val="5"/>
              </w:numPr>
              <w:autoSpaceDE w:val="0"/>
              <w:autoSpaceDN w:val="0"/>
              <w:adjustRightInd w:val="0"/>
              <w:rPr>
                <w:rFonts w:ascii="Calibri" w:hAnsi="Calibri"/>
                <w:sz w:val="22"/>
                <w:szCs w:val="22"/>
              </w:rPr>
            </w:pPr>
            <w:r w:rsidRPr="00EB3968">
              <w:rPr>
                <w:rFonts w:ascii="Calibri" w:hAnsi="Calibri"/>
                <w:sz w:val="22"/>
                <w:szCs w:val="22"/>
              </w:rPr>
              <w:t>Death or serious disability (kernicterus) associated with failure to identify and treat hyperbilirubinemia in neonates</w:t>
            </w:r>
          </w:p>
          <w:p w:rsidR="00F444FE" w:rsidRPr="00EB3968" w:rsidRDefault="00F444FE" w:rsidP="00F444FE">
            <w:pPr>
              <w:numPr>
                <w:ilvl w:val="0"/>
                <w:numId w:val="5"/>
              </w:numPr>
              <w:autoSpaceDE w:val="0"/>
              <w:autoSpaceDN w:val="0"/>
              <w:adjustRightInd w:val="0"/>
              <w:rPr>
                <w:rFonts w:ascii="Calibri" w:hAnsi="Calibri"/>
                <w:sz w:val="22"/>
                <w:szCs w:val="22"/>
              </w:rPr>
            </w:pPr>
            <w:r w:rsidRPr="00EB3968">
              <w:rPr>
                <w:rFonts w:ascii="Calibri" w:hAnsi="Calibri"/>
                <w:sz w:val="22"/>
                <w:szCs w:val="22"/>
              </w:rPr>
              <w:t>Stage 3 or 4 pressure ulcers acquired after admission to a healthcare facility</w:t>
            </w:r>
          </w:p>
          <w:p w:rsidR="00F444FE" w:rsidRPr="00EB3968" w:rsidRDefault="00F444FE" w:rsidP="00F444FE">
            <w:pPr>
              <w:numPr>
                <w:ilvl w:val="0"/>
                <w:numId w:val="5"/>
              </w:numPr>
              <w:autoSpaceDE w:val="0"/>
              <w:autoSpaceDN w:val="0"/>
              <w:adjustRightInd w:val="0"/>
              <w:rPr>
                <w:rFonts w:ascii="Calibri" w:hAnsi="Calibri"/>
                <w:sz w:val="22"/>
                <w:szCs w:val="22"/>
              </w:rPr>
            </w:pPr>
            <w:r w:rsidRPr="00EB3968">
              <w:rPr>
                <w:rFonts w:ascii="Calibri" w:hAnsi="Calibri"/>
                <w:sz w:val="22"/>
                <w:szCs w:val="22"/>
              </w:rPr>
              <w:t>Patient death or serious disability due to spinal manipulative therapy</w:t>
            </w:r>
          </w:p>
          <w:p w:rsidR="00F444FE" w:rsidRPr="00EB3968" w:rsidRDefault="00F444FE" w:rsidP="00F444FE">
            <w:pPr>
              <w:numPr>
                <w:ilvl w:val="0"/>
                <w:numId w:val="5"/>
              </w:numPr>
              <w:autoSpaceDE w:val="0"/>
              <w:autoSpaceDN w:val="0"/>
              <w:adjustRightInd w:val="0"/>
              <w:rPr>
                <w:rFonts w:ascii="Calibri" w:hAnsi="Calibri"/>
                <w:sz w:val="22"/>
                <w:szCs w:val="22"/>
              </w:rPr>
            </w:pPr>
            <w:r w:rsidRPr="00EB3968">
              <w:rPr>
                <w:rFonts w:ascii="Calibri" w:hAnsi="Calibri"/>
                <w:sz w:val="22"/>
                <w:szCs w:val="22"/>
              </w:rPr>
              <w:t>Artificial insemination with the wrong donor sperm or donor egg</w:t>
            </w:r>
          </w:p>
          <w:p w:rsidR="00F444FE" w:rsidRPr="00EB3968" w:rsidRDefault="00F444FE" w:rsidP="00F444FE">
            <w:pPr>
              <w:numPr>
                <w:ilvl w:val="0"/>
                <w:numId w:val="5"/>
              </w:numPr>
              <w:autoSpaceDE w:val="0"/>
              <w:autoSpaceDN w:val="0"/>
              <w:adjustRightInd w:val="0"/>
              <w:rPr>
                <w:rFonts w:ascii="Calibri" w:hAnsi="Calibri"/>
                <w:sz w:val="22"/>
                <w:szCs w:val="22"/>
              </w:rPr>
            </w:pPr>
            <w:r w:rsidRPr="00EB3968">
              <w:rPr>
                <w:rFonts w:ascii="Calibri" w:hAnsi="Calibri"/>
                <w:sz w:val="22"/>
                <w:szCs w:val="22"/>
              </w:rPr>
              <w:t>Unanticipated death or major permanent loss of function associated with healthcare associated infection</w:t>
            </w:r>
          </w:p>
        </w:tc>
      </w:tr>
      <w:tr w:rsidR="00F444FE" w:rsidRPr="00EB3968" w:rsidTr="00BC16D1">
        <w:tc>
          <w:tcPr>
            <w:tcW w:w="10332" w:type="dxa"/>
            <w:vAlign w:val="center"/>
          </w:tcPr>
          <w:p w:rsidR="00F444FE" w:rsidRPr="00EB3968" w:rsidRDefault="00F444FE" w:rsidP="00BC16D1">
            <w:pPr>
              <w:rPr>
                <w:rFonts w:ascii="Calibri" w:hAnsi="Calibri"/>
                <w:b/>
                <w:bCs/>
                <w:sz w:val="22"/>
                <w:szCs w:val="22"/>
              </w:rPr>
            </w:pPr>
            <w:r w:rsidRPr="00EB3968">
              <w:rPr>
                <w:rFonts w:ascii="Calibri" w:hAnsi="Calibri"/>
                <w:b/>
                <w:bCs/>
                <w:sz w:val="22"/>
                <w:szCs w:val="22"/>
              </w:rPr>
              <w:lastRenderedPageBreak/>
              <w:t>Environmental Events</w:t>
            </w:r>
          </w:p>
          <w:p w:rsidR="00F444FE" w:rsidRPr="00EB3968" w:rsidRDefault="00F444FE" w:rsidP="00F444FE">
            <w:pPr>
              <w:numPr>
                <w:ilvl w:val="0"/>
                <w:numId w:val="5"/>
              </w:numPr>
              <w:autoSpaceDE w:val="0"/>
              <w:autoSpaceDN w:val="0"/>
              <w:adjustRightInd w:val="0"/>
              <w:rPr>
                <w:rFonts w:ascii="Calibri" w:hAnsi="Calibri"/>
                <w:sz w:val="22"/>
                <w:szCs w:val="22"/>
              </w:rPr>
            </w:pPr>
            <w:r w:rsidRPr="00EB3968">
              <w:rPr>
                <w:rFonts w:ascii="Calibri" w:hAnsi="Calibri"/>
                <w:sz w:val="22"/>
                <w:szCs w:val="22"/>
              </w:rPr>
              <w:t>Patient death or serious disability associated with an electric shock or elective cardioversion while being cared for in a healthcare facility</w:t>
            </w:r>
          </w:p>
          <w:p w:rsidR="00F444FE" w:rsidRPr="00EB3968" w:rsidRDefault="00F444FE" w:rsidP="00F444FE">
            <w:pPr>
              <w:numPr>
                <w:ilvl w:val="0"/>
                <w:numId w:val="5"/>
              </w:numPr>
              <w:autoSpaceDE w:val="0"/>
              <w:autoSpaceDN w:val="0"/>
              <w:adjustRightInd w:val="0"/>
              <w:rPr>
                <w:rFonts w:ascii="Calibri" w:hAnsi="Calibri"/>
                <w:sz w:val="22"/>
                <w:szCs w:val="22"/>
              </w:rPr>
            </w:pPr>
            <w:r w:rsidRPr="00EB3968">
              <w:rPr>
                <w:rFonts w:ascii="Calibri" w:hAnsi="Calibri"/>
                <w:sz w:val="22"/>
                <w:szCs w:val="22"/>
              </w:rPr>
              <w:t>Any incident in which a line designated for oxygen or other gas to be delivered to a patient contains the wrong gas or is contaminated by toxic substances</w:t>
            </w:r>
          </w:p>
          <w:p w:rsidR="00F444FE" w:rsidRPr="00EB3968" w:rsidRDefault="00F444FE" w:rsidP="00F444FE">
            <w:pPr>
              <w:numPr>
                <w:ilvl w:val="0"/>
                <w:numId w:val="5"/>
              </w:numPr>
              <w:autoSpaceDE w:val="0"/>
              <w:autoSpaceDN w:val="0"/>
              <w:adjustRightInd w:val="0"/>
              <w:rPr>
                <w:rFonts w:ascii="Calibri" w:hAnsi="Calibri"/>
                <w:sz w:val="22"/>
                <w:szCs w:val="22"/>
              </w:rPr>
            </w:pPr>
            <w:r w:rsidRPr="00EB3968">
              <w:rPr>
                <w:rFonts w:ascii="Calibri" w:hAnsi="Calibri"/>
                <w:sz w:val="22"/>
                <w:szCs w:val="22"/>
              </w:rPr>
              <w:t>Patient death or serious disability associated with a burn incurred from any source while being cared for in a healthcare facility</w:t>
            </w:r>
          </w:p>
          <w:p w:rsidR="00F444FE" w:rsidRPr="00EB3968" w:rsidRDefault="00F444FE" w:rsidP="00F444FE">
            <w:pPr>
              <w:numPr>
                <w:ilvl w:val="0"/>
                <w:numId w:val="5"/>
              </w:numPr>
              <w:autoSpaceDE w:val="0"/>
              <w:autoSpaceDN w:val="0"/>
              <w:adjustRightInd w:val="0"/>
              <w:rPr>
                <w:rFonts w:ascii="Calibri" w:hAnsi="Calibri"/>
                <w:sz w:val="22"/>
                <w:szCs w:val="22"/>
              </w:rPr>
            </w:pPr>
            <w:r w:rsidRPr="00EB3968">
              <w:rPr>
                <w:rFonts w:ascii="Calibri" w:hAnsi="Calibri"/>
                <w:sz w:val="22"/>
                <w:szCs w:val="22"/>
              </w:rPr>
              <w:t>Patient death or serious disability associated with a fall while being cared for in a healthcare facility</w:t>
            </w:r>
          </w:p>
          <w:p w:rsidR="00F444FE" w:rsidRPr="00EB3968" w:rsidRDefault="00F444FE" w:rsidP="00F444FE">
            <w:pPr>
              <w:numPr>
                <w:ilvl w:val="0"/>
                <w:numId w:val="5"/>
              </w:numPr>
              <w:autoSpaceDE w:val="0"/>
              <w:autoSpaceDN w:val="0"/>
              <w:adjustRightInd w:val="0"/>
              <w:rPr>
                <w:rFonts w:ascii="Calibri" w:hAnsi="Calibri"/>
                <w:sz w:val="22"/>
                <w:szCs w:val="22"/>
              </w:rPr>
            </w:pPr>
            <w:r w:rsidRPr="00EB3968">
              <w:rPr>
                <w:rFonts w:ascii="Calibri" w:hAnsi="Calibri"/>
                <w:sz w:val="22"/>
                <w:szCs w:val="22"/>
              </w:rPr>
              <w:t>Patient death or serious disability associated with the use of restraints or bedrails while being cared for in a healthcare facility</w:t>
            </w:r>
          </w:p>
        </w:tc>
      </w:tr>
      <w:tr w:rsidR="00F444FE" w:rsidRPr="00EB3968" w:rsidTr="00BC16D1">
        <w:tc>
          <w:tcPr>
            <w:tcW w:w="10332" w:type="dxa"/>
            <w:vAlign w:val="center"/>
          </w:tcPr>
          <w:p w:rsidR="00F444FE" w:rsidRPr="00EB3968" w:rsidRDefault="00F444FE" w:rsidP="00BC16D1">
            <w:pPr>
              <w:rPr>
                <w:rFonts w:ascii="Calibri" w:hAnsi="Calibri"/>
                <w:b/>
                <w:bCs/>
                <w:sz w:val="22"/>
                <w:szCs w:val="22"/>
              </w:rPr>
            </w:pPr>
            <w:r w:rsidRPr="00EB3968">
              <w:rPr>
                <w:rFonts w:ascii="Calibri" w:hAnsi="Calibri"/>
                <w:b/>
                <w:bCs/>
                <w:sz w:val="22"/>
                <w:szCs w:val="22"/>
              </w:rPr>
              <w:t>Criminal Events</w:t>
            </w:r>
          </w:p>
          <w:p w:rsidR="00F444FE" w:rsidRPr="00EB3968" w:rsidRDefault="00F444FE" w:rsidP="00F444FE">
            <w:pPr>
              <w:numPr>
                <w:ilvl w:val="0"/>
                <w:numId w:val="5"/>
              </w:numPr>
              <w:autoSpaceDE w:val="0"/>
              <w:autoSpaceDN w:val="0"/>
              <w:adjustRightInd w:val="0"/>
              <w:rPr>
                <w:rFonts w:ascii="Calibri" w:hAnsi="Calibri"/>
                <w:sz w:val="22"/>
                <w:szCs w:val="22"/>
              </w:rPr>
            </w:pPr>
            <w:r w:rsidRPr="00EB3968">
              <w:rPr>
                <w:rFonts w:ascii="Calibri" w:hAnsi="Calibri"/>
                <w:sz w:val="22"/>
                <w:szCs w:val="22"/>
              </w:rPr>
              <w:t>Any instance of care ordered by or provided by someone impersonating a physician, nurse, pharmacist, or other licensed healthcare provider</w:t>
            </w:r>
          </w:p>
          <w:p w:rsidR="00F444FE" w:rsidRPr="00EB3968" w:rsidRDefault="00F444FE" w:rsidP="00F444FE">
            <w:pPr>
              <w:numPr>
                <w:ilvl w:val="0"/>
                <w:numId w:val="5"/>
              </w:numPr>
              <w:autoSpaceDE w:val="0"/>
              <w:autoSpaceDN w:val="0"/>
              <w:adjustRightInd w:val="0"/>
              <w:rPr>
                <w:rFonts w:ascii="Calibri" w:hAnsi="Calibri"/>
                <w:sz w:val="22"/>
                <w:szCs w:val="22"/>
              </w:rPr>
            </w:pPr>
            <w:r w:rsidRPr="00EB3968">
              <w:rPr>
                <w:rFonts w:ascii="Calibri" w:hAnsi="Calibri"/>
                <w:sz w:val="22"/>
                <w:szCs w:val="22"/>
              </w:rPr>
              <w:t>Abduction of a patient of any age</w:t>
            </w:r>
          </w:p>
          <w:p w:rsidR="00F444FE" w:rsidRPr="00EB3968" w:rsidRDefault="00F444FE" w:rsidP="00F444FE">
            <w:pPr>
              <w:numPr>
                <w:ilvl w:val="0"/>
                <w:numId w:val="5"/>
              </w:numPr>
              <w:autoSpaceDE w:val="0"/>
              <w:autoSpaceDN w:val="0"/>
              <w:adjustRightInd w:val="0"/>
              <w:rPr>
                <w:rFonts w:ascii="Calibri" w:hAnsi="Calibri"/>
                <w:sz w:val="22"/>
                <w:szCs w:val="22"/>
              </w:rPr>
            </w:pPr>
            <w:r w:rsidRPr="00EB3968">
              <w:rPr>
                <w:rFonts w:ascii="Calibri" w:hAnsi="Calibri"/>
                <w:sz w:val="22"/>
                <w:szCs w:val="22"/>
              </w:rPr>
              <w:t>Sexual assault on a patient within or on the grounds of the healthcare facility</w:t>
            </w:r>
          </w:p>
          <w:p w:rsidR="00F444FE" w:rsidRPr="00EB3968" w:rsidRDefault="00F444FE" w:rsidP="00F444FE">
            <w:pPr>
              <w:numPr>
                <w:ilvl w:val="0"/>
                <w:numId w:val="5"/>
              </w:numPr>
              <w:autoSpaceDE w:val="0"/>
              <w:autoSpaceDN w:val="0"/>
              <w:adjustRightInd w:val="0"/>
              <w:rPr>
                <w:rFonts w:ascii="Calibri" w:hAnsi="Calibri"/>
                <w:sz w:val="22"/>
                <w:szCs w:val="22"/>
              </w:rPr>
            </w:pPr>
            <w:r w:rsidRPr="00EB3968">
              <w:rPr>
                <w:rFonts w:ascii="Calibri" w:hAnsi="Calibri"/>
                <w:sz w:val="22"/>
                <w:szCs w:val="22"/>
              </w:rPr>
              <w:t>Death or significant injury of a patient or staff member resulting from a physical assault (i.e. battery) that occurs within or on the grounds of the healthcare facility</w:t>
            </w:r>
          </w:p>
        </w:tc>
      </w:tr>
    </w:tbl>
    <w:p w:rsidR="00F444FE" w:rsidRPr="00EB3968" w:rsidRDefault="00F444FE" w:rsidP="00F444FE">
      <w:pPr>
        <w:rPr>
          <w:rFonts w:ascii="Calibri" w:hAnsi="Calibri"/>
          <w:sz w:val="22"/>
          <w:szCs w:val="22"/>
        </w:rPr>
      </w:pPr>
    </w:p>
    <w:p w:rsidR="00F444FE" w:rsidRPr="00EB3968" w:rsidRDefault="00F444FE" w:rsidP="00F444FE">
      <w:pPr>
        <w:rPr>
          <w:rFonts w:ascii="Calibri" w:hAnsi="Calibri"/>
          <w:b/>
          <w:sz w:val="22"/>
          <w:szCs w:val="22"/>
        </w:rPr>
      </w:pPr>
      <w:r w:rsidRPr="00EB3968">
        <w:rPr>
          <w:rFonts w:ascii="Calibri" w:hAnsi="Calibri"/>
          <w:b/>
          <w:sz w:val="22"/>
          <w:szCs w:val="22"/>
        </w:rPr>
        <w:t>POLICY VIOLATION</w:t>
      </w:r>
    </w:p>
    <w:p w:rsidR="00F444FE" w:rsidRPr="00EB3968" w:rsidRDefault="00F444FE" w:rsidP="00F444FE">
      <w:pPr>
        <w:rPr>
          <w:rFonts w:ascii="Calibri" w:hAnsi="Calibri"/>
          <w:b/>
          <w:sz w:val="22"/>
          <w:szCs w:val="22"/>
        </w:rPr>
      </w:pPr>
      <w:r w:rsidRPr="00EB3968">
        <w:rPr>
          <w:rFonts w:ascii="Calibri" w:hAnsi="Calibri"/>
          <w:sz w:val="22"/>
          <w:szCs w:val="22"/>
        </w:rPr>
        <w:t>Any Centura associate who fails to abide by this policy may be subject to disciplinary action, including termination.</w:t>
      </w:r>
    </w:p>
    <w:tbl>
      <w:tblPr>
        <w:tblpPr w:leftFromText="180" w:rightFromText="180" w:vertAnchor="text" w:horzAnchor="margin" w:tblpXSpec="center" w:tblpY="30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5400"/>
      </w:tblGrid>
      <w:tr w:rsidR="00F444FE" w:rsidRPr="00EB3968" w:rsidTr="00BC16D1">
        <w:tc>
          <w:tcPr>
            <w:tcW w:w="5400" w:type="dxa"/>
          </w:tcPr>
          <w:p w:rsidR="00F444FE" w:rsidRPr="00EB3968" w:rsidRDefault="00F444FE" w:rsidP="00BC16D1">
            <w:pPr>
              <w:rPr>
                <w:rFonts w:ascii="Calibri" w:hAnsi="Calibri"/>
                <w:sz w:val="22"/>
                <w:szCs w:val="22"/>
              </w:rPr>
            </w:pPr>
            <w:r w:rsidRPr="00EB3968">
              <w:rPr>
                <w:rFonts w:ascii="Calibri" w:hAnsi="Calibri"/>
                <w:b/>
                <w:bCs/>
                <w:sz w:val="22"/>
                <w:szCs w:val="22"/>
              </w:rPr>
              <w:t xml:space="preserve">REVIEW/REVISION DATES: </w:t>
            </w:r>
            <w:r w:rsidRPr="00EB3968">
              <w:rPr>
                <w:rFonts w:ascii="Calibri" w:hAnsi="Calibri"/>
                <w:sz w:val="22"/>
                <w:szCs w:val="22"/>
              </w:rPr>
              <w:t>5/98, 6/01, 5/03, 12/07, 8/09</w:t>
            </w:r>
          </w:p>
          <w:p w:rsidR="00F444FE" w:rsidRPr="00EB3968" w:rsidRDefault="00F444FE" w:rsidP="00BC16D1">
            <w:pPr>
              <w:rPr>
                <w:rFonts w:ascii="Calibri" w:hAnsi="Calibri"/>
                <w:b/>
                <w:bCs/>
                <w:sz w:val="22"/>
                <w:szCs w:val="22"/>
              </w:rPr>
            </w:pPr>
          </w:p>
        </w:tc>
        <w:tc>
          <w:tcPr>
            <w:tcW w:w="5400" w:type="dxa"/>
          </w:tcPr>
          <w:p w:rsidR="00F444FE" w:rsidRPr="00EB3968" w:rsidRDefault="00F444FE" w:rsidP="00BC16D1">
            <w:pPr>
              <w:rPr>
                <w:rFonts w:ascii="Calibri" w:hAnsi="Calibri"/>
                <w:b/>
                <w:bCs/>
                <w:sz w:val="22"/>
                <w:szCs w:val="22"/>
              </w:rPr>
            </w:pPr>
          </w:p>
        </w:tc>
      </w:tr>
      <w:tr w:rsidR="00F444FE" w:rsidRPr="00EB3968" w:rsidTr="00BC16D1">
        <w:tc>
          <w:tcPr>
            <w:tcW w:w="5400" w:type="dxa"/>
          </w:tcPr>
          <w:p w:rsidR="00F444FE" w:rsidRPr="00EB3968" w:rsidRDefault="00F444FE" w:rsidP="00BC16D1">
            <w:pPr>
              <w:rPr>
                <w:rFonts w:ascii="Calibri" w:hAnsi="Calibri"/>
                <w:bCs/>
                <w:i/>
                <w:sz w:val="22"/>
                <w:szCs w:val="22"/>
              </w:rPr>
            </w:pPr>
            <w:r w:rsidRPr="00EB3968">
              <w:rPr>
                <w:rFonts w:ascii="Calibri" w:hAnsi="Calibri"/>
                <w:b/>
                <w:bCs/>
                <w:sz w:val="22"/>
                <w:szCs w:val="22"/>
              </w:rPr>
              <w:t>APPROVAL BODY (IES):</w:t>
            </w:r>
            <w:r w:rsidRPr="00EB3968">
              <w:rPr>
                <w:rFonts w:ascii="Calibri" w:hAnsi="Calibri"/>
                <w:bCs/>
                <w:i/>
                <w:sz w:val="22"/>
                <w:szCs w:val="22"/>
              </w:rPr>
              <w:t xml:space="preserve"> (will auto-populate)</w:t>
            </w:r>
          </w:p>
          <w:p w:rsidR="00F444FE" w:rsidRPr="00EB3968" w:rsidRDefault="00F444FE" w:rsidP="00BC16D1">
            <w:pPr>
              <w:rPr>
                <w:rFonts w:ascii="Calibri" w:hAnsi="Calibri"/>
                <w:bCs/>
                <w:i/>
                <w:sz w:val="22"/>
                <w:szCs w:val="22"/>
              </w:rPr>
            </w:pPr>
          </w:p>
        </w:tc>
        <w:tc>
          <w:tcPr>
            <w:tcW w:w="5400" w:type="dxa"/>
          </w:tcPr>
          <w:p w:rsidR="00F444FE" w:rsidRPr="00EB3968" w:rsidRDefault="00F444FE" w:rsidP="00BC16D1">
            <w:pPr>
              <w:jc w:val="both"/>
              <w:rPr>
                <w:rFonts w:ascii="Calibri" w:hAnsi="Calibri"/>
                <w:b/>
                <w:bCs/>
                <w:sz w:val="22"/>
                <w:szCs w:val="22"/>
              </w:rPr>
            </w:pPr>
            <w:r w:rsidRPr="00EB3968">
              <w:rPr>
                <w:rFonts w:ascii="Calibri" w:hAnsi="Calibri"/>
                <w:b/>
                <w:bCs/>
                <w:sz w:val="22"/>
                <w:szCs w:val="22"/>
              </w:rPr>
              <w:t xml:space="preserve">APPROVAL DATE:  </w:t>
            </w:r>
            <w:r w:rsidRPr="00EB3968">
              <w:rPr>
                <w:rFonts w:ascii="Calibri" w:hAnsi="Calibri"/>
                <w:bCs/>
                <w:i/>
                <w:sz w:val="22"/>
                <w:szCs w:val="22"/>
              </w:rPr>
              <w:t>(will auto-populate)</w:t>
            </w:r>
          </w:p>
        </w:tc>
      </w:tr>
    </w:tbl>
    <w:p w:rsidR="00F444FE" w:rsidRPr="00EB3968" w:rsidRDefault="00F444FE" w:rsidP="00F444FE">
      <w:pPr>
        <w:rPr>
          <w:rFonts w:ascii="Calibri" w:hAnsi="Calibri"/>
          <w:b/>
          <w:sz w:val="22"/>
          <w:szCs w:val="22"/>
        </w:rPr>
      </w:pPr>
    </w:p>
    <w:p w:rsidR="00F444FE" w:rsidRPr="00EB3968" w:rsidRDefault="00F444FE" w:rsidP="00F444FE">
      <w:pPr>
        <w:rPr>
          <w:rFonts w:ascii="Calibri" w:hAnsi="Calibri"/>
          <w:b/>
          <w:sz w:val="22"/>
          <w:szCs w:val="22"/>
        </w:rPr>
      </w:pPr>
    </w:p>
    <w:p w:rsidR="00BC16D1" w:rsidRPr="00F444FE" w:rsidRDefault="00BC16D1" w:rsidP="00F444FE"/>
    <w:sectPr w:rsidR="00BC16D1" w:rsidRPr="00F444FE" w:rsidSect="00796C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D1" w:rsidRDefault="00BC16D1" w:rsidP="00F444FE">
      <w:r>
        <w:separator/>
      </w:r>
    </w:p>
  </w:endnote>
  <w:endnote w:type="continuationSeparator" w:id="0">
    <w:p w:rsidR="00BC16D1" w:rsidRDefault="00BC16D1" w:rsidP="00F44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FE" w:rsidRDefault="00F444FE" w:rsidP="00F444FE">
    <w:pPr>
      <w:pStyle w:val="Header"/>
      <w:rPr>
        <w:rFonts w:ascii="Calibri" w:hAnsi="Calibri" w:cs="Arial"/>
        <w:b/>
        <w:i/>
        <w:color w:val="808080"/>
        <w:sz w:val="16"/>
        <w:szCs w:val="16"/>
      </w:rPr>
    </w:pPr>
    <w:r>
      <w:rPr>
        <w:rFonts w:ascii="Calibri" w:hAnsi="Calibri" w:cs="Arial"/>
        <w:b/>
        <w:i/>
        <w:color w:val="808080"/>
        <w:sz w:val="16"/>
        <w:szCs w:val="16"/>
      </w:rPr>
      <w:t>All official Centura Health policies are maintained electronically and are subject to change.  No printed policy should be taken as the official policy except to the extent it is consistent with the current policy that is electronically maintained.  Policies apply to all hospitals, emergency centers and community clinics that are part of Centura Health.</w:t>
    </w:r>
  </w:p>
  <w:p w:rsidR="00F444FE" w:rsidRDefault="00F444FE" w:rsidP="00F444FE">
    <w:pPr>
      <w:pStyle w:val="Header"/>
      <w:rPr>
        <w:rFonts w:ascii="Calibri" w:hAnsi="Calibri" w:cs="Arial"/>
        <w:b/>
        <w:i/>
        <w:sz w:val="16"/>
        <w:szCs w:val="16"/>
      </w:rPr>
    </w:pPr>
    <w:r>
      <w:rPr>
        <w:rFonts w:ascii="Calibri" w:hAnsi="Calibri" w:cs="Arial"/>
        <w:b/>
        <w:i/>
        <w:sz w:val="16"/>
        <w:szCs w:val="16"/>
      </w:rPr>
      <w:t xml:space="preserve"> </w:t>
    </w:r>
  </w:p>
  <w:p w:rsidR="00F444FE" w:rsidRPr="00E93C52" w:rsidRDefault="00F444FE" w:rsidP="00F444FE">
    <w:pPr>
      <w:pStyle w:val="Footer"/>
      <w:tabs>
        <w:tab w:val="right" w:pos="9270"/>
      </w:tabs>
      <w:jc w:val="both"/>
      <w:rPr>
        <w:rFonts w:ascii="Calibri" w:hAnsi="Calibri"/>
        <w:sz w:val="20"/>
        <w:szCs w:val="20"/>
      </w:rPr>
    </w:pPr>
    <w:r w:rsidRPr="00E93C52">
      <w:rPr>
        <w:rStyle w:val="PageNumber"/>
        <w:rFonts w:ascii="Calibri" w:hAnsi="Calibri"/>
        <w:sz w:val="20"/>
        <w:szCs w:val="20"/>
      </w:rPr>
      <w:tab/>
    </w:r>
    <w:r w:rsidRPr="00E93C52">
      <w:rPr>
        <w:rStyle w:val="PageNumber"/>
        <w:rFonts w:ascii="Calibri" w:hAnsi="Calibri"/>
        <w:sz w:val="20"/>
        <w:szCs w:val="20"/>
      </w:rPr>
      <w:tab/>
      <w:t xml:space="preserve">Page </w:t>
    </w:r>
    <w:r w:rsidRPr="00E93C52">
      <w:rPr>
        <w:rStyle w:val="PageNumber"/>
        <w:rFonts w:ascii="Calibri" w:hAnsi="Calibri"/>
        <w:sz w:val="20"/>
        <w:szCs w:val="20"/>
      </w:rPr>
      <w:fldChar w:fldCharType="begin"/>
    </w:r>
    <w:r w:rsidRPr="00E93C52">
      <w:rPr>
        <w:rStyle w:val="PageNumber"/>
        <w:rFonts w:ascii="Calibri" w:hAnsi="Calibri"/>
        <w:sz w:val="20"/>
        <w:szCs w:val="20"/>
      </w:rPr>
      <w:instrText xml:space="preserve"> PAGE </w:instrText>
    </w:r>
    <w:r w:rsidRPr="00E93C52">
      <w:rPr>
        <w:rStyle w:val="PageNumber"/>
        <w:rFonts w:ascii="Calibri" w:hAnsi="Calibri"/>
        <w:sz w:val="20"/>
        <w:szCs w:val="20"/>
      </w:rPr>
      <w:fldChar w:fldCharType="separate"/>
    </w:r>
    <w:r w:rsidR="009A0D13">
      <w:rPr>
        <w:rStyle w:val="PageNumber"/>
        <w:rFonts w:ascii="Calibri" w:hAnsi="Calibri"/>
        <w:noProof/>
        <w:sz w:val="20"/>
        <w:szCs w:val="20"/>
      </w:rPr>
      <w:t>4</w:t>
    </w:r>
    <w:r w:rsidRPr="00E93C52">
      <w:rPr>
        <w:rStyle w:val="PageNumber"/>
        <w:rFonts w:ascii="Calibri" w:hAnsi="Calibri"/>
        <w:sz w:val="20"/>
        <w:szCs w:val="20"/>
      </w:rPr>
      <w:fldChar w:fldCharType="end"/>
    </w:r>
    <w:r w:rsidRPr="00E93C52">
      <w:rPr>
        <w:rStyle w:val="PageNumber"/>
        <w:rFonts w:ascii="Calibri" w:hAnsi="Calibri"/>
        <w:sz w:val="20"/>
        <w:szCs w:val="20"/>
      </w:rPr>
      <w:t xml:space="preserve"> of </w:t>
    </w:r>
    <w:r w:rsidRPr="00E93C52">
      <w:rPr>
        <w:rStyle w:val="PageNumber"/>
        <w:rFonts w:ascii="Calibri" w:hAnsi="Calibri"/>
        <w:sz w:val="20"/>
        <w:szCs w:val="20"/>
      </w:rPr>
      <w:fldChar w:fldCharType="begin"/>
    </w:r>
    <w:r w:rsidRPr="00E93C52">
      <w:rPr>
        <w:rStyle w:val="PageNumber"/>
        <w:rFonts w:ascii="Calibri" w:hAnsi="Calibri"/>
        <w:sz w:val="20"/>
        <w:szCs w:val="20"/>
      </w:rPr>
      <w:instrText xml:space="preserve"> NUMPAGES </w:instrText>
    </w:r>
    <w:r w:rsidRPr="00E93C52">
      <w:rPr>
        <w:rStyle w:val="PageNumber"/>
        <w:rFonts w:ascii="Calibri" w:hAnsi="Calibri"/>
        <w:sz w:val="20"/>
        <w:szCs w:val="20"/>
      </w:rPr>
      <w:fldChar w:fldCharType="separate"/>
    </w:r>
    <w:r w:rsidR="009A0D13">
      <w:rPr>
        <w:rStyle w:val="PageNumber"/>
        <w:rFonts w:ascii="Calibri" w:hAnsi="Calibri"/>
        <w:noProof/>
        <w:sz w:val="20"/>
        <w:szCs w:val="20"/>
      </w:rPr>
      <w:t>4</w:t>
    </w:r>
    <w:r w:rsidRPr="00E93C52">
      <w:rPr>
        <w:rStyle w:val="PageNumber"/>
        <w:rFonts w:ascii="Calibri" w:hAnsi="Calibri"/>
        <w:sz w:val="20"/>
        <w:szCs w:val="20"/>
      </w:rPr>
      <w:fldChar w:fldCharType="end"/>
    </w:r>
  </w:p>
  <w:p w:rsidR="00F444FE" w:rsidRPr="00F444FE" w:rsidRDefault="00F444FE">
    <w:pPr>
      <w:pStyle w:val="Footer"/>
      <w:rPr>
        <w:sz w:val="20"/>
        <w:szCs w:val="20"/>
      </w:rPr>
    </w:pPr>
    <w:r w:rsidRPr="00F444FE">
      <w:rPr>
        <w:rFonts w:ascii="Calibri" w:hAnsi="Calibri"/>
        <w:sz w:val="20"/>
        <w:szCs w:val="20"/>
      </w:rPr>
      <w:t>Sentinel and Critical Events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D1" w:rsidRDefault="00BC16D1" w:rsidP="00F444FE">
      <w:r>
        <w:separator/>
      </w:r>
    </w:p>
  </w:footnote>
  <w:footnote w:type="continuationSeparator" w:id="0">
    <w:p w:rsidR="00BC16D1" w:rsidRDefault="00BC16D1" w:rsidP="00F44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13" w:rsidRDefault="00E82A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margin-left:-35.25pt;margin-top:-24.75pt;width:56.25pt;height:44.25pt;z-index:-251658752;visibility:visible" wrapcoords="-576 0 -576 21234 21888 21234 21888 0 -576 0">
          <v:imagedata r:id="rId1"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202C"/>
    <w:multiLevelType w:val="hybridMultilevel"/>
    <w:tmpl w:val="DDE42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A386A"/>
    <w:multiLevelType w:val="hybridMultilevel"/>
    <w:tmpl w:val="DDE42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A72F4"/>
    <w:multiLevelType w:val="hybridMultilevel"/>
    <w:tmpl w:val="CEE24D06"/>
    <w:lvl w:ilvl="0" w:tplc="A2A2D2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F83CCB"/>
    <w:multiLevelType w:val="hybridMultilevel"/>
    <w:tmpl w:val="A014A0BE"/>
    <w:lvl w:ilvl="0" w:tplc="08445C32">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EAF5EC2"/>
    <w:multiLevelType w:val="hybridMultilevel"/>
    <w:tmpl w:val="4A783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44FE"/>
    <w:rsid w:val="002714BF"/>
    <w:rsid w:val="00397EAC"/>
    <w:rsid w:val="00466F86"/>
    <w:rsid w:val="00796C92"/>
    <w:rsid w:val="007A5EAF"/>
    <w:rsid w:val="009A0D13"/>
    <w:rsid w:val="00BC16D1"/>
    <w:rsid w:val="00E82A13"/>
    <w:rsid w:val="00F444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F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44FE"/>
    <w:pPr>
      <w:tabs>
        <w:tab w:val="center" w:pos="4320"/>
        <w:tab w:val="right" w:pos="8640"/>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rsid w:val="00F444FE"/>
    <w:rPr>
      <w:rFonts w:ascii="Times New Roman" w:eastAsia="Times New Roman" w:hAnsi="Times New Roman" w:cs="Times New Roman"/>
      <w:sz w:val="20"/>
      <w:szCs w:val="20"/>
    </w:rPr>
  </w:style>
  <w:style w:type="paragraph" w:styleId="BodyTextIndent">
    <w:name w:val="Body Text Indent"/>
    <w:basedOn w:val="Normal"/>
    <w:link w:val="BodyTextIndentChar"/>
    <w:rsid w:val="00F444FE"/>
    <w:pPr>
      <w:overflowPunct w:val="0"/>
      <w:autoSpaceDE w:val="0"/>
      <w:autoSpaceDN w:val="0"/>
      <w:adjustRightInd w:val="0"/>
      <w:ind w:left="720"/>
      <w:textAlignment w:val="baseline"/>
    </w:pPr>
    <w:rPr>
      <w:rFonts w:ascii="Arial" w:hAnsi="Arial"/>
      <w:sz w:val="20"/>
      <w:szCs w:val="20"/>
    </w:rPr>
  </w:style>
  <w:style w:type="character" w:customStyle="1" w:styleId="BodyTextIndentChar">
    <w:name w:val="Body Text Indent Char"/>
    <w:basedOn w:val="DefaultParagraphFont"/>
    <w:link w:val="BodyTextIndent"/>
    <w:rsid w:val="00F444FE"/>
    <w:rPr>
      <w:rFonts w:ascii="Arial" w:eastAsia="Times New Roman" w:hAnsi="Arial" w:cs="Times New Roman"/>
      <w:sz w:val="20"/>
      <w:szCs w:val="20"/>
    </w:rPr>
  </w:style>
  <w:style w:type="paragraph" w:styleId="BodyText">
    <w:name w:val="Body Text"/>
    <w:basedOn w:val="Normal"/>
    <w:link w:val="BodyTextChar"/>
    <w:rsid w:val="00F444FE"/>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rsid w:val="00F444FE"/>
    <w:rPr>
      <w:rFonts w:ascii="Times New Roman" w:eastAsia="Times New Roman" w:hAnsi="Times New Roman" w:cs="Times New Roman"/>
      <w:sz w:val="20"/>
      <w:szCs w:val="20"/>
    </w:rPr>
  </w:style>
  <w:style w:type="character" w:styleId="Hyperlink">
    <w:name w:val="Hyperlink"/>
    <w:basedOn w:val="DefaultParagraphFont"/>
    <w:rsid w:val="00F444FE"/>
    <w:rPr>
      <w:color w:val="003366"/>
      <w:u w:val="single"/>
    </w:rPr>
  </w:style>
  <w:style w:type="paragraph" w:customStyle="1" w:styleId="nostyle">
    <w:name w:val="no style"/>
    <w:link w:val="nostyleChar"/>
    <w:qFormat/>
    <w:rsid w:val="00F444FE"/>
    <w:pPr>
      <w:pBdr>
        <w:top w:val="double" w:sz="6" w:space="0" w:color="auto"/>
      </w:pBdr>
    </w:pPr>
    <w:rPr>
      <w:rFonts w:eastAsia="Times New Roman"/>
      <w:b/>
      <w:sz w:val="22"/>
      <w:szCs w:val="22"/>
    </w:rPr>
  </w:style>
  <w:style w:type="character" w:customStyle="1" w:styleId="nostyleChar">
    <w:name w:val="no style Char"/>
    <w:basedOn w:val="DefaultParagraphFont"/>
    <w:link w:val="nostyle"/>
    <w:rsid w:val="00F444FE"/>
    <w:rPr>
      <w:rFonts w:ascii="Calibri" w:eastAsia="Times New Roman" w:hAnsi="Calibri" w:cs="Times New Roman"/>
      <w:b/>
      <w:sz w:val="22"/>
      <w:szCs w:val="22"/>
      <w:lang w:val="en-US" w:eastAsia="en-US" w:bidi="ar-SA"/>
    </w:rPr>
  </w:style>
  <w:style w:type="paragraph" w:styleId="Footer">
    <w:name w:val="footer"/>
    <w:basedOn w:val="Normal"/>
    <w:link w:val="FooterChar"/>
    <w:uiPriority w:val="99"/>
    <w:unhideWhenUsed/>
    <w:rsid w:val="00F444FE"/>
    <w:pPr>
      <w:tabs>
        <w:tab w:val="center" w:pos="4680"/>
        <w:tab w:val="right" w:pos="9360"/>
      </w:tabs>
    </w:pPr>
  </w:style>
  <w:style w:type="character" w:customStyle="1" w:styleId="FooterChar">
    <w:name w:val="Footer Char"/>
    <w:basedOn w:val="DefaultParagraphFont"/>
    <w:link w:val="Footer"/>
    <w:uiPriority w:val="99"/>
    <w:semiHidden/>
    <w:rsid w:val="00F444FE"/>
    <w:rPr>
      <w:rFonts w:ascii="Times New Roman" w:eastAsia="Times New Roman" w:hAnsi="Times New Roman" w:cs="Times New Roman"/>
      <w:sz w:val="24"/>
      <w:szCs w:val="24"/>
    </w:rPr>
  </w:style>
  <w:style w:type="character" w:styleId="PageNumber">
    <w:name w:val="page number"/>
    <w:basedOn w:val="DefaultParagraphFont"/>
    <w:uiPriority w:val="99"/>
    <w:rsid w:val="00F444F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hi.org/IHI/Topics/PatientCenteredCare/PatientCenteredCareGeneral/Literature/WhenThingsGoWrongRespondingtoAdverseEve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10128</CharactersWithSpaces>
  <SharedDoc>false</SharedDoc>
  <HLinks>
    <vt:vector size="6" baseType="variant">
      <vt:variant>
        <vt:i4>7209084</vt:i4>
      </vt:variant>
      <vt:variant>
        <vt:i4>0</vt:i4>
      </vt:variant>
      <vt:variant>
        <vt:i4>0</vt:i4>
      </vt:variant>
      <vt:variant>
        <vt:i4>5</vt:i4>
      </vt:variant>
      <vt:variant>
        <vt:lpwstr>http://www.ihi.org/IHI/Topics/PatientCenteredCare/PatientCenteredCareGeneral/Literature/WhenThingsGoWrongRespondingtoAdverseEvents.htm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kcreech</dc:creator>
  <cp:keywords/>
  <dc:description/>
  <cp:lastModifiedBy>lreedy1</cp:lastModifiedBy>
  <cp:revision>2</cp:revision>
  <dcterms:created xsi:type="dcterms:W3CDTF">2013-02-25T21:36:00Z</dcterms:created>
  <dcterms:modified xsi:type="dcterms:W3CDTF">2013-02-25T21:36:00Z</dcterms:modified>
</cp:coreProperties>
</file>