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B" w:rsidRPr="004D61AE" w:rsidRDefault="008667DE" w:rsidP="009F728B">
      <w:pPr>
        <w:rPr>
          <w:rFonts w:ascii="Arial" w:hAnsi="Arial" w:cs="Arial"/>
          <w:b/>
          <w:sz w:val="20"/>
          <w:szCs w:val="20"/>
        </w:rPr>
      </w:pPr>
      <w:r w:rsidRPr="008667D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25pt;margin-top:.9pt;width:425.25pt;height:42.75pt;z-index:251657728" stroked="f">
            <v:textbox>
              <w:txbxContent>
                <w:p w:rsidR="00841288" w:rsidRDefault="00841288" w:rsidP="009F728B">
                  <w:pPr>
                    <w:jc w:val="center"/>
                    <w:rPr>
                      <w:b/>
                    </w:rPr>
                  </w:pPr>
                  <w:r w:rsidRPr="00C459E5">
                    <w:rPr>
                      <w:b/>
                    </w:rPr>
                    <w:t xml:space="preserve">Nursing Practice Council (NPC) </w:t>
                  </w:r>
                </w:p>
                <w:p w:rsidR="00841288" w:rsidRPr="006653AF" w:rsidRDefault="00841288" w:rsidP="009F72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August </w:t>
                  </w:r>
                  <w:proofErr w:type="gramStart"/>
                  <w:r>
                    <w:rPr>
                      <w:b/>
                    </w:rPr>
                    <w:t>28</w:t>
                  </w:r>
                  <w:r w:rsidRPr="0091675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,</w:t>
                  </w:r>
                  <w:proofErr w:type="gramEnd"/>
                  <w:r>
                    <w:rPr>
                      <w:b/>
                    </w:rPr>
                    <w:t xml:space="preserve"> 2012, Penrose – Board Room </w:t>
                  </w:r>
                  <w:r w:rsidRPr="006653AF">
                    <w:rPr>
                      <w:b/>
                    </w:rPr>
                    <w:t>1600-1730 hours</w:t>
                  </w:r>
                </w:p>
              </w:txbxContent>
            </v:textbox>
          </v:shape>
        </w:pict>
      </w:r>
      <w:r w:rsidR="00F413C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9650" cy="409575"/>
            <wp:effectExtent l="19050" t="0" r="0" b="0"/>
            <wp:docPr id="1" name="Picture 2" descr="PSFHS JPG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FHS JPG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8B" w:rsidRPr="004D61AE" w:rsidRDefault="009F728B" w:rsidP="009F728B">
      <w:pPr>
        <w:rPr>
          <w:rFonts w:ascii="Arial" w:hAnsi="Arial" w:cs="Arial"/>
          <w:b/>
          <w:sz w:val="20"/>
          <w:szCs w:val="20"/>
        </w:rPr>
      </w:pPr>
    </w:p>
    <w:p w:rsidR="009F728B" w:rsidRPr="002B432E" w:rsidRDefault="009F728B" w:rsidP="009F728B">
      <w:pPr>
        <w:ind w:firstLine="144"/>
        <w:rPr>
          <w:rFonts w:ascii="Arial" w:hAnsi="Arial" w:cs="Arial"/>
          <w:sz w:val="20"/>
          <w:szCs w:val="20"/>
        </w:rPr>
      </w:pPr>
      <w:proofErr w:type="gramStart"/>
      <w:r w:rsidRPr="002B432E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2</w:t>
      </w:r>
      <w:r w:rsidRPr="002B432E">
        <w:rPr>
          <w:rFonts w:ascii="Arial" w:hAnsi="Arial" w:cs="Arial"/>
          <w:b/>
          <w:sz w:val="20"/>
          <w:szCs w:val="20"/>
        </w:rPr>
        <w:t xml:space="preserve"> NPC Goal.</w:t>
      </w:r>
      <w:proofErr w:type="gramEnd"/>
      <w:r w:rsidRPr="002B432E">
        <w:rPr>
          <w:rFonts w:ascii="Arial" w:hAnsi="Arial" w:cs="Arial"/>
          <w:b/>
          <w:sz w:val="20"/>
          <w:szCs w:val="20"/>
        </w:rPr>
        <w:t xml:space="preserve">  Promote and recognize excellence in nursing practice by improving readiness for Magnet application/submis</w:t>
      </w:r>
      <w:r>
        <w:rPr>
          <w:rFonts w:ascii="Arial" w:hAnsi="Arial" w:cs="Arial"/>
          <w:b/>
          <w:sz w:val="20"/>
          <w:szCs w:val="20"/>
        </w:rPr>
        <w:t xml:space="preserve">sion in three </w:t>
      </w:r>
      <w:r w:rsidRPr="002B432E">
        <w:rPr>
          <w:rFonts w:ascii="Arial" w:hAnsi="Arial" w:cs="Arial"/>
          <w:b/>
          <w:sz w:val="20"/>
          <w:szCs w:val="20"/>
        </w:rPr>
        <w:t>areas:</w:t>
      </w:r>
    </w:p>
    <w:p w:rsidR="009F728B" w:rsidRPr="002B432E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>Promote professional development, increase individual and team accountability, and strengthen the professional nursing culture through formal unit level nursing peer review in all clinical nursing service areas.</w:t>
      </w:r>
    </w:p>
    <w:p w:rsidR="009F728B" w:rsidRPr="002B432E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>Outperform national benchmark in nurse sensitive HCAHPS categories: Pain Management, Nurse Communication, Discharge Information, Responsiveness, Medication education and Quietness at Night.</w:t>
      </w:r>
    </w:p>
    <w:p w:rsidR="009F728B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 xml:space="preserve">Improve relationship-based care as part of our Professional Practice Model.  </w:t>
      </w:r>
    </w:p>
    <w:p w:rsidR="009F728B" w:rsidRPr="002B432E" w:rsidRDefault="009F728B" w:rsidP="009F728B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3240"/>
        <w:gridCol w:w="4860"/>
        <w:gridCol w:w="900"/>
        <w:gridCol w:w="2430"/>
        <w:gridCol w:w="1170"/>
        <w:gridCol w:w="90"/>
      </w:tblGrid>
      <w:tr w:rsidR="009F728B" w:rsidRPr="004D61AE" w:rsidTr="004C0666">
        <w:trPr>
          <w:trHeight w:val="1052"/>
        </w:trPr>
        <w:tc>
          <w:tcPr>
            <w:tcW w:w="1350" w:type="dxa"/>
            <w:shd w:val="clear" w:color="auto" w:fill="auto"/>
          </w:tcPr>
          <w:p w:rsidR="009F728B" w:rsidRPr="00C1542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C1542B">
              <w:rPr>
                <w:rFonts w:ascii="Arial" w:hAnsi="Arial" w:cs="Arial"/>
                <w:b/>
              </w:rPr>
              <w:t>Present</w:t>
            </w:r>
          </w:p>
          <w:p w:rsidR="009F728B" w:rsidRPr="00C1542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9F728B" w:rsidRPr="00C1542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C1542B">
              <w:rPr>
                <w:rFonts w:ascii="Arial" w:hAnsi="Arial" w:cs="Arial"/>
                <w:b/>
              </w:rPr>
              <w:t>BOLD is present.</w:t>
            </w:r>
          </w:p>
        </w:tc>
        <w:tc>
          <w:tcPr>
            <w:tcW w:w="3240" w:type="dxa"/>
            <w:shd w:val="clear" w:color="auto" w:fill="auto"/>
          </w:tcPr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 xml:space="preserve">Christine Tavenner, RN, </w:t>
            </w:r>
            <w:r>
              <w:rPr>
                <w:rFonts w:ascii="Arial" w:hAnsi="Arial" w:cs="Arial"/>
                <w:b/>
              </w:rPr>
              <w:t xml:space="preserve">Chair 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Louise Wilson RN, Co-Chair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Mary Bonds RN, 11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Cheryl Ward, RN, 7</w:t>
            </w:r>
            <w:r w:rsidRPr="00B23034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Tiffany Epps, RN, 4th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Robert Hollenback, RN, CVU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Kristin Funk, RN, 5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E1016F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Karen Rackley, RN, PH ED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Velda Baker, RN, GI Lab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Lisa Gore, RN 8</w:t>
            </w:r>
            <w:r w:rsidRPr="00B23034">
              <w:rPr>
                <w:rFonts w:ascii="Arial" w:hAnsi="Arial" w:cs="Arial"/>
                <w:vertAlign w:val="superscript"/>
              </w:rPr>
              <w:t>th</w:t>
            </w:r>
            <w:r w:rsidRPr="00B23034">
              <w:rPr>
                <w:rFonts w:ascii="Arial" w:hAnsi="Arial" w:cs="Arial"/>
              </w:rPr>
              <w:t xml:space="preserve"> </w:t>
            </w:r>
          </w:p>
          <w:p w:rsidR="00906868" w:rsidRP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 xml:space="preserve">April </w:t>
            </w:r>
            <w:proofErr w:type="spellStart"/>
            <w:r w:rsidRPr="00906868">
              <w:rPr>
                <w:rFonts w:ascii="Arial" w:hAnsi="Arial" w:cs="Arial"/>
                <w:b/>
              </w:rPr>
              <w:t>Stiens</w:t>
            </w:r>
            <w:proofErr w:type="spellEnd"/>
            <w:r w:rsidRPr="00906868">
              <w:rPr>
                <w:rFonts w:ascii="Arial" w:hAnsi="Arial" w:cs="Arial"/>
                <w:b/>
              </w:rPr>
              <w:t>, RN, ICU/PH</w:t>
            </w:r>
          </w:p>
        </w:tc>
        <w:tc>
          <w:tcPr>
            <w:tcW w:w="4860" w:type="dxa"/>
            <w:shd w:val="clear" w:color="auto" w:fill="auto"/>
          </w:tcPr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Sybilla Loughmiller BSN, RNC, Labor &amp; Delivery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Brenda Karlstrum, RNC, Mom/Baby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Meredith Kilgore, RN, NICU</w:t>
            </w:r>
          </w:p>
          <w:p w:rsid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E1016F">
              <w:rPr>
                <w:rFonts w:ascii="Arial" w:hAnsi="Arial" w:cs="Arial"/>
                <w:b/>
              </w:rPr>
              <w:t>Sandra Everett, RN, 5S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 xml:space="preserve">Rebecca Curtis, RN, SFMC PeriOp 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Elizabeth Urata, RN, Pediatric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Judy Day, RN, 5N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Connie Fleming, RN, SFMC, ICU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 xml:space="preserve">Katrina </w:t>
            </w:r>
            <w:r w:rsidR="00906868" w:rsidRPr="00906868">
              <w:rPr>
                <w:rFonts w:ascii="Arial" w:hAnsi="Arial" w:cs="Arial"/>
                <w:b/>
              </w:rPr>
              <w:t>Roy</w:t>
            </w:r>
            <w:r w:rsidRPr="00906868">
              <w:rPr>
                <w:rFonts w:ascii="Arial" w:hAnsi="Arial" w:cs="Arial"/>
                <w:b/>
              </w:rPr>
              <w:t>, RN, 9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E1016F">
              <w:rPr>
                <w:rFonts w:ascii="Arial" w:hAnsi="Arial" w:cs="Arial"/>
              </w:rPr>
              <w:t>Lisa Montijo, RN, PH ED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Deb Nussdorfer, RN Magnet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Theresa Lutze, RN,  Manager Rep</w:t>
            </w:r>
          </w:p>
          <w:p w:rsid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Cheryl Rudolph, RN, SWAB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Dan Jones, RN, Cripple Creek Urgent Care (Fire)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Penny Sharkey, RN, PH ICU</w:t>
            </w:r>
            <w:r>
              <w:rPr>
                <w:rFonts w:ascii="Arial" w:hAnsi="Arial" w:cs="Arial"/>
              </w:rPr>
              <w:t xml:space="preserve"> (Fire)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 xml:space="preserve">Gina Wamble, RNC, PH, OPS 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Gina Biondi, RN, Infusion Center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E1016F">
              <w:rPr>
                <w:rFonts w:ascii="Arial" w:hAnsi="Arial" w:cs="Arial"/>
              </w:rPr>
              <w:t>Mickey Miller, RN, Float Pool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Joan Schoendaller, RN, 9</w:t>
            </w:r>
            <w:r w:rsidRPr="00906868">
              <w:rPr>
                <w:rFonts w:ascii="Arial" w:hAnsi="Arial" w:cs="Arial"/>
                <w:vertAlign w:val="superscript"/>
              </w:rPr>
              <w:t>th</w:t>
            </w:r>
            <w:r w:rsidRPr="00906868">
              <w:rPr>
                <w:rFonts w:ascii="Arial" w:hAnsi="Arial" w:cs="Arial"/>
              </w:rPr>
              <w:t xml:space="preserve"> flr</w:t>
            </w:r>
          </w:p>
          <w:p w:rsidR="00906868" w:rsidRP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Rackley, RN, ED/PH</w:t>
            </w:r>
          </w:p>
        </w:tc>
      </w:tr>
      <w:tr w:rsidR="009F728B" w:rsidRPr="004D61AE" w:rsidTr="004C0666">
        <w:tc>
          <w:tcPr>
            <w:tcW w:w="1350" w:type="dxa"/>
            <w:shd w:val="clear" w:color="auto" w:fill="auto"/>
          </w:tcPr>
          <w:p w:rsidR="009F728B" w:rsidRPr="004D61AE" w:rsidRDefault="009F728B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1A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Review of Minutes</w:t>
            </w:r>
          </w:p>
        </w:tc>
        <w:tc>
          <w:tcPr>
            <w:tcW w:w="12690" w:type="dxa"/>
            <w:gridSpan w:val="6"/>
            <w:shd w:val="clear" w:color="auto" w:fill="auto"/>
          </w:tcPr>
          <w:p w:rsidR="009F728B" w:rsidRDefault="009F728B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55A">
              <w:rPr>
                <w:rFonts w:ascii="Arial" w:hAnsi="Arial" w:cs="Arial"/>
                <w:color w:val="000000"/>
                <w:sz w:val="20"/>
                <w:szCs w:val="20"/>
              </w:rPr>
              <w:t>INTRODUCTIONS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New chair goal is to learn every ones name.  </w:t>
            </w:r>
          </w:p>
          <w:p w:rsidR="009F728B" w:rsidRDefault="009F728B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Reflection by Louise Wilson</w:t>
            </w:r>
          </w:p>
          <w:p w:rsidR="005E6A1D" w:rsidRPr="00DE155A" w:rsidRDefault="005E6A1D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Minutes from July meeting approved.  </w:t>
            </w:r>
          </w:p>
        </w:tc>
      </w:tr>
      <w:tr w:rsidR="009F728B" w:rsidRPr="004D61AE" w:rsidTr="006B7E04">
        <w:trPr>
          <w:gridAfter w:val="1"/>
          <w:wAfter w:w="90" w:type="dxa"/>
        </w:trPr>
        <w:tc>
          <w:tcPr>
            <w:tcW w:w="1350" w:type="dxa"/>
            <w:vAlign w:val="center"/>
          </w:tcPr>
          <w:p w:rsidR="009F728B" w:rsidRPr="004D61AE" w:rsidRDefault="009F728B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1A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9000" w:type="dxa"/>
            <w:gridSpan w:val="3"/>
            <w:vAlign w:val="center"/>
          </w:tcPr>
          <w:p w:rsidR="009F728B" w:rsidRPr="004D61AE" w:rsidRDefault="009F728B" w:rsidP="004C06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AE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430" w:type="dxa"/>
            <w:vAlign w:val="center"/>
          </w:tcPr>
          <w:p w:rsidR="009F728B" w:rsidRPr="004D61AE" w:rsidRDefault="009F728B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61AE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170" w:type="dxa"/>
            <w:vAlign w:val="center"/>
          </w:tcPr>
          <w:p w:rsidR="009F728B" w:rsidRPr="004D61AE" w:rsidRDefault="009F728B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Pr="004D61AE">
              <w:rPr>
                <w:rFonts w:ascii="Arial" w:hAnsi="Arial" w:cs="Arial"/>
                <w:b/>
                <w:color w:val="000000"/>
                <w:sz w:val="20"/>
                <w:szCs w:val="20"/>
              </w:rPr>
              <w:t>ollow-up</w:t>
            </w:r>
          </w:p>
        </w:tc>
      </w:tr>
      <w:tr w:rsidR="009F728B" w:rsidRPr="004D61AE" w:rsidTr="006B7E04">
        <w:trPr>
          <w:gridAfter w:val="1"/>
          <w:wAfter w:w="90" w:type="dxa"/>
        </w:trPr>
        <w:tc>
          <w:tcPr>
            <w:tcW w:w="1350" w:type="dxa"/>
          </w:tcPr>
          <w:p w:rsidR="009F728B" w:rsidRPr="00866CAC" w:rsidRDefault="005E1466" w:rsidP="004C06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_x0000_s1028" style="position:absolute;margin-left:-6.9pt;margin-top:132.75pt;width:676.5pt;height:1in;z-index:251658752;mso-position-horizontal-relative:text;mso-position-vertical-relative:text" filled="f"/>
              </w:pict>
            </w:r>
            <w:r w:rsidR="009F728B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Centura NPC</w:t>
            </w:r>
          </w:p>
        </w:tc>
        <w:tc>
          <w:tcPr>
            <w:tcW w:w="9000" w:type="dxa"/>
            <w:gridSpan w:val="3"/>
            <w:vAlign w:val="center"/>
          </w:tcPr>
          <w:p w:rsidR="009F728B" w:rsidRDefault="009F728B" w:rsidP="009F728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Privacy Policy Change </w:t>
            </w:r>
            <w:r w:rsidR="00906868">
              <w:rPr>
                <w:rFonts w:ascii="Arial" w:hAnsi="Arial" w:cs="Arial"/>
                <w:sz w:val="18"/>
                <w:szCs w:val="18"/>
              </w:rPr>
              <w:t xml:space="preserve">was </w:t>
            </w:r>
            <w:r>
              <w:rPr>
                <w:rFonts w:ascii="Arial" w:hAnsi="Arial" w:cs="Arial"/>
                <w:sz w:val="18"/>
                <w:szCs w:val="18"/>
              </w:rPr>
              <w:t xml:space="preserve">assigned to LEARN </w:t>
            </w:r>
            <w:r w:rsidR="00906868">
              <w:rPr>
                <w:rFonts w:ascii="Arial" w:hAnsi="Arial" w:cs="Arial"/>
                <w:sz w:val="18"/>
                <w:szCs w:val="18"/>
              </w:rPr>
              <w:t>module–need to survey staff to see if all following new policy</w:t>
            </w:r>
            <w:r w:rsidR="005E6A1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728B" w:rsidRDefault="009F728B" w:rsidP="009F728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Cold Policy (Centura Health)</w:t>
            </w:r>
            <w:r w:rsidR="005E6A1D">
              <w:rPr>
                <w:rFonts w:ascii="Arial" w:hAnsi="Arial" w:cs="Arial"/>
                <w:sz w:val="18"/>
                <w:szCs w:val="18"/>
              </w:rPr>
              <w:t>; feedback received—no changes from our policy</w:t>
            </w:r>
            <w:r w:rsidR="00556525">
              <w:rPr>
                <w:rFonts w:ascii="Arial" w:hAnsi="Arial" w:cs="Arial"/>
                <w:sz w:val="18"/>
                <w:szCs w:val="18"/>
              </w:rPr>
              <w:t>—Centura will adopt ours.</w:t>
            </w:r>
          </w:p>
          <w:p w:rsidR="009F728B" w:rsidRDefault="009F728B" w:rsidP="009F728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Pilot – Rehab Toilet Training</w:t>
            </w:r>
            <w:r w:rsidR="005E6A1D">
              <w:rPr>
                <w:rFonts w:ascii="Arial" w:hAnsi="Arial" w:cs="Arial"/>
                <w:sz w:val="18"/>
                <w:szCs w:val="18"/>
              </w:rPr>
              <w:t xml:space="preserve">; continue to monitor; toilet training program to </w:t>
            </w:r>
            <w:r w:rsidR="00556525">
              <w:rPr>
                <w:rFonts w:ascii="Arial" w:hAnsi="Arial" w:cs="Arial"/>
                <w:sz w:val="18"/>
                <w:szCs w:val="18"/>
              </w:rPr>
              <w:t>be trialed on</w:t>
            </w:r>
            <w:r w:rsidR="005E6A1D">
              <w:rPr>
                <w:rFonts w:ascii="Arial" w:hAnsi="Arial" w:cs="Arial"/>
                <w:sz w:val="18"/>
                <w:szCs w:val="18"/>
              </w:rPr>
              <w:t xml:space="preserve"> rehab</w:t>
            </w:r>
            <w:r w:rsidR="00556525">
              <w:rPr>
                <w:rFonts w:ascii="Arial" w:hAnsi="Arial" w:cs="Arial"/>
                <w:sz w:val="18"/>
                <w:szCs w:val="18"/>
              </w:rPr>
              <w:t xml:space="preserve"> unit</w:t>
            </w:r>
            <w:r w:rsidR="005E6A1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728B" w:rsidRDefault="009F728B" w:rsidP="009F728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Q42012 Report/Dashboard</w:t>
            </w:r>
            <w:r w:rsidR="00B83897">
              <w:rPr>
                <w:rFonts w:ascii="Arial" w:hAnsi="Arial" w:cs="Arial"/>
                <w:sz w:val="18"/>
                <w:szCs w:val="18"/>
              </w:rPr>
              <w:t xml:space="preserve">; Press Ganey—PSF at 71%; Centura as </w:t>
            </w:r>
            <w:r w:rsidR="0055652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B83897"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556525">
              <w:rPr>
                <w:rFonts w:ascii="Arial" w:hAnsi="Arial" w:cs="Arial"/>
                <w:sz w:val="18"/>
                <w:szCs w:val="18"/>
              </w:rPr>
              <w:t>at</w:t>
            </w:r>
            <w:r w:rsidR="00B83897">
              <w:rPr>
                <w:rFonts w:ascii="Arial" w:hAnsi="Arial" w:cs="Arial"/>
                <w:sz w:val="18"/>
                <w:szCs w:val="18"/>
              </w:rPr>
              <w:t xml:space="preserve"> 74%</w:t>
            </w:r>
            <w:proofErr w:type="gramStart"/>
            <w:r w:rsidR="00B83897">
              <w:rPr>
                <w:rFonts w:ascii="Arial" w:hAnsi="Arial" w:cs="Arial"/>
                <w:sz w:val="18"/>
                <w:szCs w:val="18"/>
              </w:rPr>
              <w:t>;  RN</w:t>
            </w:r>
            <w:proofErr w:type="gramEnd"/>
            <w:r w:rsidR="00B83897">
              <w:rPr>
                <w:rFonts w:ascii="Arial" w:hAnsi="Arial" w:cs="Arial"/>
                <w:sz w:val="18"/>
                <w:szCs w:val="18"/>
              </w:rPr>
              <w:t xml:space="preserve"> turnover PSF at 14.8%  goal was 10%; new grad turnover </w:t>
            </w:r>
            <w:r w:rsidR="00556525">
              <w:rPr>
                <w:rFonts w:ascii="Arial" w:hAnsi="Arial" w:cs="Arial"/>
                <w:sz w:val="18"/>
                <w:szCs w:val="18"/>
              </w:rPr>
              <w:t xml:space="preserve">at PSF </w:t>
            </w:r>
            <w:r w:rsidR="00B83897">
              <w:rPr>
                <w:rFonts w:ascii="Arial" w:hAnsi="Arial" w:cs="Arial"/>
                <w:sz w:val="18"/>
                <w:szCs w:val="18"/>
              </w:rPr>
              <w:t>at only 2%--way to go!!!  Bar code med assigning—PSF at 95.6%--very good!!</w:t>
            </w:r>
          </w:p>
          <w:p w:rsidR="00B83897" w:rsidRDefault="00B83897" w:rsidP="009F728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Productive RN compensation in ligh</w:t>
            </w:r>
            <w:r w:rsidR="00556525">
              <w:rPr>
                <w:rFonts w:ascii="Arial" w:hAnsi="Arial" w:cs="Arial"/>
                <w:sz w:val="18"/>
                <w:szCs w:val="18"/>
              </w:rPr>
              <w:t>t of patient care—PSF at lowest within the Centura system.  CNO continues to work with Finance.</w:t>
            </w:r>
            <w:r w:rsidR="007D4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728B" w:rsidRPr="009F728B" w:rsidRDefault="009F728B" w:rsidP="001A6F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F728B">
              <w:rPr>
                <w:rFonts w:ascii="Arial" w:hAnsi="Arial" w:cs="Arial"/>
                <w:sz w:val="18"/>
                <w:szCs w:val="18"/>
              </w:rPr>
              <w:t>LOOK process for bedside report (Handout)</w:t>
            </w:r>
            <w:r w:rsidR="007D471E">
              <w:rPr>
                <w:rFonts w:ascii="Arial" w:hAnsi="Arial" w:cs="Arial"/>
                <w:sz w:val="18"/>
                <w:szCs w:val="18"/>
              </w:rPr>
              <w:t xml:space="preserve">; presentation of the LOOK process for bedside report.  Will look </w:t>
            </w:r>
            <w:r w:rsidR="001A6F46">
              <w:rPr>
                <w:rFonts w:ascii="Arial" w:hAnsi="Arial" w:cs="Arial"/>
                <w:sz w:val="18"/>
                <w:szCs w:val="18"/>
              </w:rPr>
              <w:t>at this process for bedside report</w:t>
            </w:r>
            <w:r w:rsidR="007D471E">
              <w:rPr>
                <w:rFonts w:ascii="Arial" w:hAnsi="Arial" w:cs="Arial"/>
                <w:sz w:val="18"/>
                <w:szCs w:val="18"/>
              </w:rPr>
              <w:t xml:space="preserve"> in the future. </w:t>
            </w:r>
            <w:r w:rsidR="000A6CDD">
              <w:rPr>
                <w:rFonts w:ascii="Arial" w:hAnsi="Arial" w:cs="Arial"/>
                <w:sz w:val="18"/>
                <w:szCs w:val="18"/>
              </w:rPr>
              <w:t xml:space="preserve">  From University of Colorado Science Center.  </w:t>
            </w:r>
          </w:p>
        </w:tc>
        <w:tc>
          <w:tcPr>
            <w:tcW w:w="2430" w:type="dxa"/>
          </w:tcPr>
          <w:p w:rsidR="009F728B" w:rsidRDefault="009F728B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next meeting.</w:t>
            </w: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send out LOOK presentation online.</w:t>
            </w:r>
          </w:p>
        </w:tc>
        <w:tc>
          <w:tcPr>
            <w:tcW w:w="1170" w:type="dxa"/>
          </w:tcPr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6F46" w:rsidRPr="004D61AE" w:rsidRDefault="001A6F46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 N.</w:t>
            </w:r>
          </w:p>
        </w:tc>
      </w:tr>
      <w:tr w:rsidR="009F728B" w:rsidRPr="004D61AE" w:rsidTr="006B7E04">
        <w:trPr>
          <w:gridAfter w:val="1"/>
          <w:wAfter w:w="90" w:type="dxa"/>
        </w:trPr>
        <w:tc>
          <w:tcPr>
            <w:tcW w:w="1350" w:type="dxa"/>
            <w:vAlign w:val="center"/>
          </w:tcPr>
          <w:p w:rsidR="009F728B" w:rsidRDefault="005E1466" w:rsidP="004C06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Nursing Research</w:t>
            </w:r>
          </w:p>
        </w:tc>
        <w:tc>
          <w:tcPr>
            <w:tcW w:w="9000" w:type="dxa"/>
            <w:gridSpan w:val="3"/>
            <w:vAlign w:val="center"/>
          </w:tcPr>
          <w:p w:rsidR="009F728B" w:rsidRPr="00793C46" w:rsidRDefault="009F728B" w:rsidP="004C066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3C46">
              <w:rPr>
                <w:rFonts w:ascii="Arial" w:hAnsi="Arial" w:cs="Arial"/>
                <w:sz w:val="18"/>
                <w:szCs w:val="18"/>
                <w:highlight w:val="yellow"/>
              </w:rPr>
              <w:t>Jane Braaten</w:t>
            </w:r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fr</w:t>
            </w:r>
            <w:r w:rsidR="003E4C2F" w:rsidRPr="00793C46">
              <w:rPr>
                <w:rFonts w:ascii="Arial" w:hAnsi="Arial" w:cs="Arial"/>
                <w:sz w:val="18"/>
                <w:szCs w:val="18"/>
                <w:highlight w:val="yellow"/>
              </w:rPr>
              <w:t>om the</w:t>
            </w:r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University of Colorado </w:t>
            </w:r>
            <w:r w:rsidR="00D239BE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is </w:t>
            </w:r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working </w:t>
            </w:r>
            <w:r w:rsidR="00D239BE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on her </w:t>
            </w:r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doctoral dissertation and has been approved by the Penrose IRB and Nursing Research Council on project regarding barriers to activation of the RRT by medical/surgical nurse.  </w:t>
            </w:r>
            <w:proofErr w:type="gramStart"/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Need </w:t>
            </w:r>
            <w:r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</w:t>
            </w:r>
            <w:proofErr w:type="gramEnd"/>
            <w:r w:rsidRPr="00793C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recrui</w:t>
            </w:r>
            <w:r w:rsidR="001A6F46" w:rsidRPr="00793C46">
              <w:rPr>
                <w:rFonts w:ascii="Arial" w:hAnsi="Arial" w:cs="Arial"/>
                <w:sz w:val="18"/>
                <w:szCs w:val="18"/>
                <w:highlight w:val="yellow"/>
              </w:rPr>
              <w:t>t nurses that have activated and RRT and those that have not.</w:t>
            </w:r>
          </w:p>
          <w:p w:rsidR="009F728B" w:rsidRPr="00793C46" w:rsidRDefault="009F728B" w:rsidP="00D239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</w:tcPr>
          <w:p w:rsidR="00D239BE" w:rsidRPr="00793C46" w:rsidRDefault="00D239BE" w:rsidP="004C066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93C4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Contact Jane at 720-272-2396 or email </w:t>
            </w:r>
            <w:hyperlink r:id="rId9" w:history="1">
              <w:r w:rsidRPr="00793C46">
                <w:rPr>
                  <w:rStyle w:val="Hyperlink"/>
                  <w:rFonts w:ascii="Arial" w:hAnsi="Arial" w:cs="Arial"/>
                  <w:sz w:val="20"/>
                  <w:szCs w:val="20"/>
                  <w:highlight w:val="yellow"/>
                </w:rPr>
                <w:t>janebraaten@q.com</w:t>
              </w:r>
            </w:hyperlink>
          </w:p>
          <w:p w:rsidR="00D239BE" w:rsidRPr="00793C46" w:rsidRDefault="00D239BE" w:rsidP="004C066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9F728B" w:rsidRPr="004D61AE" w:rsidRDefault="009F728B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0666" w:rsidRDefault="009F728B">
      <w:r w:rsidRPr="006D156B">
        <w:rPr>
          <w:rFonts w:ascii="Arial" w:hAnsi="Arial" w:cs="Arial"/>
          <w:sz w:val="22"/>
          <w:szCs w:val="22"/>
        </w:rPr>
        <w:t xml:space="preserve"> </w:t>
      </w:r>
    </w:p>
    <w:sectPr w:rsidR="004C0666" w:rsidSect="004C0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46" w:rsidRDefault="002F4146">
      <w:r>
        <w:separator/>
      </w:r>
    </w:p>
  </w:endnote>
  <w:endnote w:type="continuationSeparator" w:id="0">
    <w:p w:rsidR="002F4146" w:rsidRDefault="002F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46" w:rsidRDefault="002F4146">
      <w:r>
        <w:separator/>
      </w:r>
    </w:p>
  </w:footnote>
  <w:footnote w:type="continuationSeparator" w:id="0">
    <w:p w:rsidR="002F4146" w:rsidRDefault="002F4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2A6"/>
    <w:multiLevelType w:val="hybridMultilevel"/>
    <w:tmpl w:val="79F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9AD"/>
    <w:multiLevelType w:val="hybridMultilevel"/>
    <w:tmpl w:val="5FC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1F0F"/>
    <w:multiLevelType w:val="hybridMultilevel"/>
    <w:tmpl w:val="79F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155EF"/>
    <w:multiLevelType w:val="hybridMultilevel"/>
    <w:tmpl w:val="0C24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4D1"/>
    <w:multiLevelType w:val="hybridMultilevel"/>
    <w:tmpl w:val="6FCC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09FA"/>
    <w:multiLevelType w:val="hybridMultilevel"/>
    <w:tmpl w:val="98F6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2CB3"/>
    <w:multiLevelType w:val="hybridMultilevel"/>
    <w:tmpl w:val="0F9C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E63D27"/>
    <w:multiLevelType w:val="hybridMultilevel"/>
    <w:tmpl w:val="96A8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8B"/>
    <w:rsid w:val="00023298"/>
    <w:rsid w:val="000A6CDD"/>
    <w:rsid w:val="000C765E"/>
    <w:rsid w:val="001116A4"/>
    <w:rsid w:val="00112FA2"/>
    <w:rsid w:val="00131270"/>
    <w:rsid w:val="00196FE0"/>
    <w:rsid w:val="001A6F46"/>
    <w:rsid w:val="001F38EE"/>
    <w:rsid w:val="00241FA6"/>
    <w:rsid w:val="0026679B"/>
    <w:rsid w:val="002714BF"/>
    <w:rsid w:val="002F4146"/>
    <w:rsid w:val="00342015"/>
    <w:rsid w:val="00356F8C"/>
    <w:rsid w:val="00397EAC"/>
    <w:rsid w:val="003E4C2F"/>
    <w:rsid w:val="00430DB9"/>
    <w:rsid w:val="00432838"/>
    <w:rsid w:val="00466F86"/>
    <w:rsid w:val="004C0666"/>
    <w:rsid w:val="004D06D5"/>
    <w:rsid w:val="004F66B1"/>
    <w:rsid w:val="00556525"/>
    <w:rsid w:val="005D41CA"/>
    <w:rsid w:val="005E1466"/>
    <w:rsid w:val="005E6A1D"/>
    <w:rsid w:val="0066423F"/>
    <w:rsid w:val="006B7CBF"/>
    <w:rsid w:val="006B7E04"/>
    <w:rsid w:val="00731670"/>
    <w:rsid w:val="00742D10"/>
    <w:rsid w:val="0074554F"/>
    <w:rsid w:val="00747D81"/>
    <w:rsid w:val="00793C46"/>
    <w:rsid w:val="00796C92"/>
    <w:rsid w:val="007D471E"/>
    <w:rsid w:val="00813DA9"/>
    <w:rsid w:val="00841288"/>
    <w:rsid w:val="008667DE"/>
    <w:rsid w:val="00906868"/>
    <w:rsid w:val="00916757"/>
    <w:rsid w:val="00951076"/>
    <w:rsid w:val="009A1F8B"/>
    <w:rsid w:val="009C332E"/>
    <w:rsid w:val="009D2B0E"/>
    <w:rsid w:val="009F728B"/>
    <w:rsid w:val="00AE62D5"/>
    <w:rsid w:val="00B0175D"/>
    <w:rsid w:val="00B02018"/>
    <w:rsid w:val="00B73EFC"/>
    <w:rsid w:val="00B83897"/>
    <w:rsid w:val="00B86851"/>
    <w:rsid w:val="00CE4573"/>
    <w:rsid w:val="00D16722"/>
    <w:rsid w:val="00D239BE"/>
    <w:rsid w:val="00E13F58"/>
    <w:rsid w:val="00E160AC"/>
    <w:rsid w:val="00EA6208"/>
    <w:rsid w:val="00F140C4"/>
    <w:rsid w:val="00F22AC5"/>
    <w:rsid w:val="00F4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9F728B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9F7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braaten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8601-FE48-4970-A844-A6214955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3116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mailto:janebraaten@q.com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kcreech</dc:creator>
  <cp:keywords/>
  <dc:description/>
  <cp:lastModifiedBy>dnussdor</cp:lastModifiedBy>
  <cp:revision>4</cp:revision>
  <dcterms:created xsi:type="dcterms:W3CDTF">2012-12-06T17:12:00Z</dcterms:created>
  <dcterms:modified xsi:type="dcterms:W3CDTF">2013-02-19T14:30:00Z</dcterms:modified>
</cp:coreProperties>
</file>